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F9B" w:rsidRPr="009D71A2" w:rsidRDefault="00481F9B" w:rsidP="00481F9B">
      <w:pPr>
        <w:pStyle w:val="IRCIntroText"/>
        <w:rPr>
          <w:rStyle w:val="CharacterStyle1"/>
          <w:rFonts w:ascii="Arial" w:hAnsi="Arial" w:cs="Times New Roman"/>
          <w:b/>
          <w:color w:val="auto"/>
          <w:sz w:val="32"/>
          <w:szCs w:val="32"/>
        </w:rPr>
      </w:pPr>
      <w:r w:rsidRPr="009D71A2">
        <w:rPr>
          <w:rStyle w:val="CharacterStyle1"/>
          <w:rFonts w:ascii="Arial" w:hAnsi="Arial" w:cs="Times New Roman"/>
          <w:b/>
          <w:color w:val="auto"/>
          <w:sz w:val="32"/>
          <w:szCs w:val="32"/>
        </w:rPr>
        <w:t>1. Purpose</w:t>
      </w:r>
    </w:p>
    <w:p w:rsidR="00481F9B" w:rsidRPr="00481F9B" w:rsidRDefault="00481F9B" w:rsidP="00481F9B">
      <w:pPr>
        <w:pStyle w:val="IRCBodyText"/>
      </w:pPr>
      <w:r w:rsidRPr="00481F9B">
        <w:t xml:space="preserve">Responsive feedback mechanisms are a global standard in humanitarian response. The purpose of systematically setting up feedback mechanisms for EPRU emergency responses is twofold: to improve our accountability to the beneficiary population we aim to serve and to enable consistent, appropriate responses to feedback. This protocol explains how feedback (including suggestions, complaints, and positive feedback) in EPRU responses should be heard, managed, and resolved in order to minimize the time and effort that must be spent on each individual piece of feedback. </w:t>
      </w:r>
    </w:p>
    <w:p w:rsidR="00481F9B" w:rsidRPr="009D71A2" w:rsidRDefault="00481F9B" w:rsidP="00481F9B">
      <w:pPr>
        <w:pStyle w:val="IRCIntroText"/>
        <w:rPr>
          <w:rStyle w:val="CharacterStyle1"/>
          <w:rFonts w:ascii="Arial" w:hAnsi="Arial" w:cs="Times New Roman"/>
          <w:b/>
          <w:color w:val="auto"/>
          <w:sz w:val="32"/>
          <w:szCs w:val="24"/>
        </w:rPr>
      </w:pPr>
      <w:r w:rsidRPr="009D71A2">
        <w:rPr>
          <w:rStyle w:val="CharacterStyle1"/>
          <w:rFonts w:ascii="Arial" w:hAnsi="Arial" w:cs="Times New Roman"/>
          <w:b/>
          <w:color w:val="auto"/>
          <w:sz w:val="32"/>
          <w:szCs w:val="24"/>
        </w:rPr>
        <w:t>2. Overview</w:t>
      </w:r>
    </w:p>
    <w:p w:rsidR="00481F9B" w:rsidRPr="00481F9B" w:rsidRDefault="00481F9B" w:rsidP="00481F9B">
      <w:pPr>
        <w:pStyle w:val="IRCBodyText"/>
      </w:pPr>
      <w:r w:rsidRPr="00481F9B">
        <w:t>By reviewing experiences from 25 INGOs, the CDA Collaborative Learning Project (CLP) identified critical elements of successful feedback mechanisms including staff culture, trust building, and closing the feedback loop.</w:t>
      </w:r>
      <w:r w:rsidRPr="00481F9B">
        <w:rPr>
          <w:rStyle w:val="FootnoteReference"/>
        </w:rPr>
        <w:footnoteReference w:id="1"/>
      </w:r>
      <w:r w:rsidRPr="00481F9B">
        <w:t xml:space="preserve"> These three elements should be considered prior to the set-up of any feedback mechanism:</w:t>
      </w:r>
    </w:p>
    <w:p w:rsidR="00481F9B" w:rsidRPr="009D71A2" w:rsidRDefault="00481F9B" w:rsidP="00481F9B">
      <w:pPr>
        <w:pStyle w:val="IRCBodyText"/>
        <w:rPr>
          <w:b/>
          <w:sz w:val="24"/>
        </w:rPr>
      </w:pPr>
      <w:r w:rsidRPr="009D71A2">
        <w:rPr>
          <w:b/>
          <w:sz w:val="24"/>
        </w:rPr>
        <w:t>Staff Culture</w:t>
      </w:r>
    </w:p>
    <w:p w:rsidR="00481F9B" w:rsidRPr="00481F9B" w:rsidRDefault="00481F9B" w:rsidP="00481F9B">
      <w:pPr>
        <w:pStyle w:val="IRCBodyText"/>
      </w:pPr>
      <w:r w:rsidRPr="00481F9B">
        <w:t>As with all aspects of participation, the buy-in of IRC and partner staff both at the management and field levels, is critical to ensure the views, ideas, and involvement of affected populations are meaningfully collected and acted upon. IRC management, IRC ground staff, or partner staff can conduct community feedback meetings, tally responses from suggestion boxes, and respond to call-in complaints. However, if all actors (especially management responsible for responding to feedback) do not value and understand this process, it is unlikely to be successful. In that case, the process would be a ‘Tick Box’ activity not worth the time and effort it entails.</w:t>
      </w:r>
    </w:p>
    <w:p w:rsidR="00481F9B" w:rsidRPr="00481F9B" w:rsidRDefault="00481F9B" w:rsidP="00481F9B">
      <w:pPr>
        <w:pStyle w:val="IRCBodyText"/>
      </w:pPr>
      <w:r w:rsidRPr="00481F9B">
        <w:t>When feedback mechanisms are newly rolled out (as often occurs in an IRC emergency response), staff at all levels may feel somewhat threatened. Staff therefore may be hesitant to receive or positively address feedback provided through the mechanism. For this reason, in order for feedback mechanisms to be successful in EPRU programs, it is imperative that all members of the EPRU and the ERT create an organizational culture which values the views and experiences of those it aims to assist by noting the importance of feedback, ensuring that it is collected, and appropriately responding to it. This must take place not only with feedback that arrives through a formal mechanism, but also in daily attitudes and behaviors such as open door policies, encouraging an atmosphere of trial and error, and ensuring staff understand it is acceptable to make mistakes - so long as they are learned from.</w:t>
      </w:r>
      <w:r w:rsidRPr="00481F9B">
        <w:rPr>
          <w:rStyle w:val="FootnoteReference"/>
        </w:rPr>
        <w:footnoteReference w:id="2"/>
      </w:r>
    </w:p>
    <w:p w:rsidR="00481F9B" w:rsidRPr="009D71A2" w:rsidRDefault="00481F9B" w:rsidP="00481F9B">
      <w:pPr>
        <w:pStyle w:val="IRCBodyText"/>
        <w:rPr>
          <w:b/>
          <w:sz w:val="24"/>
        </w:rPr>
      </w:pPr>
      <w:r w:rsidRPr="009D71A2">
        <w:rPr>
          <w:b/>
          <w:sz w:val="24"/>
        </w:rPr>
        <w:t>Trust Building</w:t>
      </w:r>
    </w:p>
    <w:p w:rsidR="00481F9B" w:rsidRPr="00481F9B" w:rsidRDefault="00481F9B" w:rsidP="00481F9B">
      <w:pPr>
        <w:pStyle w:val="IRCBodyText"/>
        <w:rPr>
          <w:rStyle w:val="CharacterStyle1"/>
          <w:rFonts w:ascii="Arial" w:hAnsi="Arial" w:cs="Times New Roman"/>
          <w:color w:val="auto"/>
          <w:sz w:val="19"/>
          <w:szCs w:val="24"/>
        </w:rPr>
      </w:pPr>
      <w:r w:rsidRPr="00481F9B">
        <w:t>The first step in building trust with an emergency-affected community is explaining the nature and mission of the IRC’s work (information sharing). The second is requesting, receiving, and utilizing input from members of the community about that work (feedback mechanisms) which may include assessments and ongoing monitoring. In order for beneficiaries and other stakeholders to make use of a feedback mechanism, they will need to trust that it is safe (sometimes anonymous and/or confidential) and that action/response will be taken upon their claim/concern. Over time, if either safety/confidentiality or action/response are seen to be lacking, beneficiaries will lose faith in the mechanism and avoid using it entirely.</w:t>
      </w:r>
      <w:r w:rsidRPr="00481F9B">
        <w:rPr>
          <w:rStyle w:val="FootnoteReference"/>
        </w:rPr>
        <w:footnoteReference w:id="3"/>
      </w:r>
    </w:p>
    <w:p w:rsidR="00481F9B" w:rsidRPr="00481F9B" w:rsidRDefault="00481F9B" w:rsidP="00481F9B">
      <w:pPr>
        <w:pStyle w:val="IRCBodyText"/>
        <w:sectPr w:rsidR="00481F9B" w:rsidRPr="00481F9B" w:rsidSect="00D56A97">
          <w:headerReference w:type="default" r:id="rId8"/>
          <w:footerReference w:type="default" r:id="rId9"/>
          <w:headerReference w:type="first" r:id="rId10"/>
          <w:footerReference w:type="first" r:id="rId11"/>
          <w:pgSz w:w="12240" w:h="15840"/>
          <w:pgMar w:top="3370" w:right="720" w:bottom="1080" w:left="720" w:header="720" w:footer="1152" w:gutter="0"/>
          <w:cols w:space="720"/>
          <w:titlePg/>
          <w:docGrid w:linePitch="326"/>
        </w:sectPr>
      </w:pPr>
    </w:p>
    <w:p w:rsidR="00481F9B" w:rsidRPr="009D71A2" w:rsidRDefault="00481F9B" w:rsidP="00481F9B">
      <w:pPr>
        <w:pStyle w:val="IRCBodyText"/>
        <w:rPr>
          <w:b/>
          <w:sz w:val="24"/>
        </w:rPr>
      </w:pPr>
      <w:r w:rsidRPr="009D71A2">
        <w:rPr>
          <w:b/>
          <w:sz w:val="24"/>
        </w:rPr>
        <w:lastRenderedPageBreak/>
        <w:t>Feedback Loop - The Response</w:t>
      </w:r>
    </w:p>
    <w:p w:rsidR="00481F9B" w:rsidRPr="00481F9B" w:rsidRDefault="00481F9B" w:rsidP="00481F9B">
      <w:pPr>
        <w:pStyle w:val="IRCBodyText"/>
      </w:pPr>
      <w:r w:rsidRPr="00481F9B">
        <w:t>Feedback mechanisms must include a follow-up step in which the service provider (i.e. the IRC or its implementing partner), responds to the beneficiary feedback.  Not responding to beneficiary feedback is a common, but serious, error.</w:t>
      </w:r>
      <w:r w:rsidRPr="00481F9B">
        <w:rPr>
          <w:rStyle w:val="FootnoteReference"/>
        </w:rPr>
        <w:footnoteReference w:id="4"/>
      </w:r>
      <w:r w:rsidRPr="00481F9B">
        <w:t xml:space="preserve"> If the service provider does not respond to feedback, the system can backfire and beneficiaries can lose trust in the provider.  After the Haiti earthquake, for example, there was a system for information sharing through mass SMS.  Thousands of affected persons used it to give feedback and express concerns about programming. However, when there was no response to the concerns (because the system was not set up to be able to do this), beneficiaries became frustrated and started to mistrust the aid community.</w:t>
      </w:r>
      <w:r w:rsidRPr="00481F9B">
        <w:rPr>
          <w:rStyle w:val="FootnoteReference"/>
        </w:rPr>
        <w:footnoteReference w:id="5"/>
      </w:r>
    </w:p>
    <w:p w:rsidR="00481F9B" w:rsidRPr="00481F9B" w:rsidRDefault="00481F9B" w:rsidP="00481F9B">
      <w:pPr>
        <w:pStyle w:val="IRCBodyText"/>
      </w:pPr>
      <w:r w:rsidRPr="00481F9B">
        <w:t>It is also suggested that considering who responds to the feedback is a key element. As a general rule, feedback should always be dealt with at the lowest effective level. This means that complaints that can be solved in the field should be, while others will need to be reported higher up the management chain. This type of multi-tiered redress system is necessary to ensure that the response is suited to the situation.</w:t>
      </w:r>
      <w:r w:rsidRPr="00481F9B">
        <w:rPr>
          <w:rStyle w:val="FootnoteReference"/>
        </w:rPr>
        <w:footnoteReference w:id="6"/>
      </w:r>
      <w:r w:rsidRPr="00481F9B">
        <w:t xml:space="preserve"> </w:t>
      </w:r>
    </w:p>
    <w:p w:rsidR="00481F9B" w:rsidRPr="00481F9B" w:rsidRDefault="00481F9B" w:rsidP="00481F9B">
      <w:pPr>
        <w:pStyle w:val="IRCBodyText"/>
        <w:rPr>
          <w:rStyle w:val="CharacterStyle1"/>
          <w:rFonts w:ascii="Arial" w:hAnsi="Arial" w:cs="Times New Roman"/>
          <w:color w:val="auto"/>
          <w:sz w:val="19"/>
          <w:szCs w:val="24"/>
        </w:rPr>
      </w:pPr>
      <w:r w:rsidRPr="00481F9B">
        <w:t>The CLP study also found that “most organizations that were successful in gathering feedback from people in local communities, and in distributing information back (closing the feedback loop), found it necessary to have more than one mechanism in place.”</w:t>
      </w:r>
      <w:r w:rsidRPr="00481F9B">
        <w:rPr>
          <w:rStyle w:val="FootnoteReference"/>
        </w:rPr>
        <w:footnoteReference w:id="7"/>
      </w:r>
    </w:p>
    <w:p w:rsidR="00481F9B" w:rsidRPr="009D71A2" w:rsidRDefault="00481F9B" w:rsidP="00481F9B">
      <w:pPr>
        <w:pStyle w:val="IRCIntroText"/>
        <w:rPr>
          <w:rStyle w:val="CharacterStyle1"/>
          <w:rFonts w:ascii="Arial" w:hAnsi="Arial" w:cs="Times New Roman"/>
          <w:b/>
          <w:color w:val="auto"/>
          <w:sz w:val="32"/>
          <w:szCs w:val="32"/>
        </w:rPr>
      </w:pPr>
      <w:r w:rsidRPr="009D71A2">
        <w:rPr>
          <w:rStyle w:val="CharacterStyle1"/>
          <w:rFonts w:ascii="Arial" w:hAnsi="Arial" w:cs="Times New Roman"/>
          <w:b/>
          <w:color w:val="auto"/>
          <w:sz w:val="32"/>
          <w:szCs w:val="32"/>
        </w:rPr>
        <w:t>3. Feedback Methods &amp; Processes</w:t>
      </w:r>
    </w:p>
    <w:p w:rsidR="00481F9B" w:rsidRPr="00481F9B" w:rsidRDefault="00481F9B" w:rsidP="00481F9B">
      <w:pPr>
        <w:pStyle w:val="IRCBodyText"/>
      </w:pPr>
      <w:r w:rsidRPr="00481F9B">
        <w:t>While keeping an eye on staff culture, trust building, and feedback loops, the EPRU uses two main methods for soliciting feedback from beneficiaries and other stakeholders: static methods and active methods. Examples and notes on each are given in the following table.</w:t>
      </w:r>
    </w:p>
    <w:tbl>
      <w:tblPr>
        <w:tblStyle w:val="TableGrid"/>
        <w:tblW w:w="10800" w:type="dxa"/>
        <w:jc w:val="center"/>
        <w:tblCellMar>
          <w:left w:w="115" w:type="dxa"/>
          <w:right w:w="115" w:type="dxa"/>
        </w:tblCellMar>
        <w:tblLook w:val="04A0" w:firstRow="1" w:lastRow="0" w:firstColumn="1" w:lastColumn="0" w:noHBand="0" w:noVBand="1"/>
      </w:tblPr>
      <w:tblGrid>
        <w:gridCol w:w="8280"/>
        <w:gridCol w:w="2520"/>
      </w:tblGrid>
      <w:tr w:rsidR="001C2CA6" w:rsidRPr="001C2CA6" w:rsidTr="00E83BEE">
        <w:trPr>
          <w:cantSplit/>
          <w:trHeight w:val="360"/>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FFD00F"/>
            <w:vAlign w:val="center"/>
          </w:tcPr>
          <w:p w:rsidR="001C2CA6" w:rsidRPr="009D71A2" w:rsidRDefault="001C2CA6" w:rsidP="001C2CA6">
            <w:pPr>
              <w:pStyle w:val="IRCBodyText"/>
              <w:spacing w:after="0"/>
              <w:jc w:val="center"/>
              <w:rPr>
                <w:b/>
                <w:sz w:val="24"/>
              </w:rPr>
            </w:pPr>
            <w:r w:rsidRPr="009D71A2">
              <w:rPr>
                <w:b/>
                <w:sz w:val="24"/>
              </w:rPr>
              <w:t>Methods of Soliciting Stakeholder/Beneficiary Feedback</w:t>
            </w:r>
          </w:p>
        </w:tc>
      </w:tr>
      <w:tr w:rsidR="001C2CA6" w:rsidRPr="001C2CA6" w:rsidTr="00E83BEE">
        <w:trPr>
          <w:cantSplit/>
          <w:trHeight w:val="360"/>
          <w:jc w:val="center"/>
        </w:trPr>
        <w:tc>
          <w:tcPr>
            <w:tcW w:w="0" w:type="auto"/>
            <w:tcBorders>
              <w:top w:val="single" w:sz="4" w:space="0" w:color="auto"/>
            </w:tcBorders>
            <w:shd w:val="clear" w:color="auto" w:fill="000000" w:themeFill="text1"/>
            <w:vAlign w:val="center"/>
          </w:tcPr>
          <w:p w:rsidR="001C2CA6" w:rsidRPr="009D71A2" w:rsidRDefault="001C2CA6" w:rsidP="001C2CA6">
            <w:pPr>
              <w:pStyle w:val="IRCBodyText"/>
              <w:spacing w:after="0"/>
              <w:jc w:val="center"/>
              <w:rPr>
                <w:b/>
                <w:sz w:val="24"/>
              </w:rPr>
            </w:pPr>
            <w:r w:rsidRPr="009D71A2">
              <w:rPr>
                <w:b/>
                <w:sz w:val="24"/>
              </w:rPr>
              <w:t>Notes</w:t>
            </w:r>
          </w:p>
        </w:tc>
        <w:tc>
          <w:tcPr>
            <w:tcW w:w="0" w:type="auto"/>
            <w:tcBorders>
              <w:top w:val="single" w:sz="4" w:space="0" w:color="auto"/>
            </w:tcBorders>
            <w:shd w:val="clear" w:color="auto" w:fill="000000" w:themeFill="text1"/>
            <w:vAlign w:val="center"/>
          </w:tcPr>
          <w:p w:rsidR="001C2CA6" w:rsidRPr="009D71A2" w:rsidRDefault="001C2CA6" w:rsidP="001C2CA6">
            <w:pPr>
              <w:pStyle w:val="IRCBodyText"/>
              <w:spacing w:after="0"/>
              <w:jc w:val="center"/>
              <w:rPr>
                <w:b/>
                <w:sz w:val="24"/>
              </w:rPr>
            </w:pPr>
            <w:r w:rsidRPr="009D71A2">
              <w:rPr>
                <w:b/>
                <w:sz w:val="24"/>
              </w:rPr>
              <w:t>Examples</w:t>
            </w:r>
          </w:p>
        </w:tc>
      </w:tr>
      <w:tr w:rsidR="001C2CA6" w:rsidRPr="001C2CA6" w:rsidTr="00E83BEE">
        <w:trPr>
          <w:cantSplit/>
          <w:trHeight w:val="357"/>
          <w:jc w:val="center"/>
        </w:trPr>
        <w:tc>
          <w:tcPr>
            <w:tcW w:w="0" w:type="auto"/>
            <w:gridSpan w:val="2"/>
            <w:shd w:val="clear" w:color="auto" w:fill="CECECE"/>
            <w:vAlign w:val="center"/>
          </w:tcPr>
          <w:p w:rsidR="001C2CA6" w:rsidRPr="009D71A2" w:rsidRDefault="001C2CA6" w:rsidP="001C2CA6">
            <w:pPr>
              <w:pStyle w:val="IRCBulletedBodyText"/>
              <w:numPr>
                <w:ilvl w:val="0"/>
                <w:numId w:val="0"/>
              </w:numPr>
              <w:spacing w:after="0"/>
              <w:ind w:left="288" w:hanging="288"/>
              <w:jc w:val="center"/>
              <w:rPr>
                <w:b/>
                <w:sz w:val="24"/>
              </w:rPr>
            </w:pPr>
            <w:r w:rsidRPr="009D71A2">
              <w:rPr>
                <w:b/>
                <w:sz w:val="24"/>
              </w:rPr>
              <w:t>Static Mechanisms</w:t>
            </w:r>
          </w:p>
        </w:tc>
      </w:tr>
      <w:tr w:rsidR="001C2CA6" w:rsidRPr="003437B3" w:rsidTr="00E83BEE">
        <w:trPr>
          <w:cantSplit/>
          <w:trHeight w:val="1134"/>
          <w:jc w:val="center"/>
        </w:trPr>
        <w:tc>
          <w:tcPr>
            <w:tcW w:w="0" w:type="auto"/>
          </w:tcPr>
          <w:p w:rsidR="001C2CA6" w:rsidRPr="00481F9B" w:rsidRDefault="001C2CA6" w:rsidP="00481F9B">
            <w:pPr>
              <w:pStyle w:val="IRCBulletedBodyText"/>
            </w:pPr>
            <w:r w:rsidRPr="00481F9B">
              <w:t>Static feedback mechanisms are those which require the beneficiary to initiate the feedback dialog.</w:t>
            </w:r>
          </w:p>
          <w:p w:rsidR="001C2CA6" w:rsidRPr="00481F9B" w:rsidRDefault="001C2CA6" w:rsidP="00481F9B">
            <w:pPr>
              <w:pStyle w:val="IRCBulletedBodyText"/>
            </w:pPr>
            <w:r w:rsidRPr="00481F9B">
              <w:t xml:space="preserve">Static feedback mechanisms are those that are in place over a long period of time, and which a stakeholder can report </w:t>
            </w:r>
            <w:r>
              <w:t xml:space="preserve">to </w:t>
            </w:r>
            <w:r w:rsidRPr="00481F9B">
              <w:t>or access largely at will.</w:t>
            </w:r>
          </w:p>
          <w:p w:rsidR="001C2CA6" w:rsidRPr="00481F9B" w:rsidRDefault="001C2CA6" w:rsidP="00481F9B">
            <w:pPr>
              <w:pStyle w:val="IRCBulletedBodyText"/>
            </w:pPr>
            <w:r w:rsidRPr="00481F9B">
              <w:t>Ideally, multiple static mechanisms are used concurrently to ensure access to all strata of stakeholders (both a phone hotline and a suggestion box may be used to provide access to illiterate beneficiaries as well as those who do not have access to a phone line).</w:t>
            </w:r>
          </w:p>
          <w:p w:rsidR="001C2CA6" w:rsidRPr="00126624" w:rsidRDefault="001C2CA6" w:rsidP="00481F9B">
            <w:pPr>
              <w:pStyle w:val="IRCBulletedBodyText"/>
            </w:pPr>
            <w:r w:rsidRPr="00481F9B">
              <w:t>Static mechanisms are often preferred for individuals who wish to remain anonymous, or who have sensitive claims.</w:t>
            </w:r>
          </w:p>
        </w:tc>
        <w:tc>
          <w:tcPr>
            <w:tcW w:w="0" w:type="auto"/>
          </w:tcPr>
          <w:p w:rsidR="001C2CA6" w:rsidRPr="00481F9B" w:rsidRDefault="001C2CA6" w:rsidP="00481F9B">
            <w:pPr>
              <w:pStyle w:val="IRCBulletedBodyText"/>
            </w:pPr>
            <w:r w:rsidRPr="00481F9B">
              <w:t>Telephone hotlines</w:t>
            </w:r>
          </w:p>
          <w:p w:rsidR="001C2CA6" w:rsidRPr="00481F9B" w:rsidRDefault="001C2CA6" w:rsidP="00481F9B">
            <w:pPr>
              <w:pStyle w:val="IRCBulletedBodyText"/>
            </w:pPr>
            <w:r w:rsidRPr="00481F9B">
              <w:t>Suggestion/complaint boxes</w:t>
            </w:r>
          </w:p>
          <w:p w:rsidR="001C2CA6" w:rsidRPr="00481F9B" w:rsidRDefault="001C2CA6" w:rsidP="00481F9B">
            <w:pPr>
              <w:pStyle w:val="IRCBulletedBodyText"/>
            </w:pPr>
            <w:r w:rsidRPr="00481F9B">
              <w:t>Dedicated email address</w:t>
            </w:r>
          </w:p>
          <w:p w:rsidR="001C2CA6" w:rsidRPr="00481F9B" w:rsidRDefault="001C2CA6" w:rsidP="00481F9B">
            <w:pPr>
              <w:pStyle w:val="IRCBulletedBodyText"/>
            </w:pPr>
            <w:r w:rsidRPr="00481F9B">
              <w:t>SMS line</w:t>
            </w:r>
          </w:p>
          <w:p w:rsidR="001C2CA6" w:rsidRPr="00481F9B" w:rsidRDefault="001C2CA6" w:rsidP="00481F9B">
            <w:pPr>
              <w:pStyle w:val="IRCBulletedBodyText"/>
            </w:pPr>
            <w:r w:rsidRPr="00481F9B">
              <w:t xml:space="preserve">Help or complaint desks </w:t>
            </w:r>
          </w:p>
          <w:p w:rsidR="001C2CA6" w:rsidRPr="001C2CA6" w:rsidRDefault="001C2CA6" w:rsidP="001C2CA6">
            <w:pPr>
              <w:pStyle w:val="IRCBulletedBodyText"/>
            </w:pPr>
            <w:r w:rsidRPr="00481F9B">
              <w:t>Community liaisons</w:t>
            </w:r>
          </w:p>
        </w:tc>
      </w:tr>
    </w:tbl>
    <w:p w:rsidR="001C2CA6" w:rsidRDefault="001C2CA6">
      <w:r>
        <w:br w:type="page"/>
      </w:r>
    </w:p>
    <w:tbl>
      <w:tblPr>
        <w:tblStyle w:val="TableGrid"/>
        <w:tblW w:w="10800" w:type="dxa"/>
        <w:jc w:val="center"/>
        <w:tblCellMar>
          <w:left w:w="115" w:type="dxa"/>
          <w:right w:w="115" w:type="dxa"/>
        </w:tblCellMar>
        <w:tblLook w:val="04A0" w:firstRow="1" w:lastRow="0" w:firstColumn="1" w:lastColumn="0" w:noHBand="0" w:noVBand="1"/>
      </w:tblPr>
      <w:tblGrid>
        <w:gridCol w:w="8208"/>
        <w:gridCol w:w="2592"/>
      </w:tblGrid>
      <w:tr w:rsidR="001C2CA6" w:rsidRPr="001C2CA6" w:rsidTr="00E83BEE">
        <w:trPr>
          <w:cantSplit/>
          <w:trHeight w:val="360"/>
          <w:jc w:val="center"/>
        </w:trPr>
        <w:tc>
          <w:tcPr>
            <w:tcW w:w="0" w:type="auto"/>
            <w:gridSpan w:val="2"/>
            <w:shd w:val="clear" w:color="auto" w:fill="CECECE"/>
            <w:vAlign w:val="center"/>
          </w:tcPr>
          <w:p w:rsidR="001C2CA6" w:rsidRPr="009D71A2" w:rsidRDefault="001C2CA6" w:rsidP="001C2CA6">
            <w:pPr>
              <w:pStyle w:val="IRCBulletedBodyText"/>
              <w:numPr>
                <w:ilvl w:val="0"/>
                <w:numId w:val="0"/>
              </w:numPr>
              <w:spacing w:after="0"/>
              <w:ind w:left="288" w:hanging="288"/>
              <w:jc w:val="center"/>
              <w:rPr>
                <w:b/>
                <w:sz w:val="24"/>
              </w:rPr>
            </w:pPr>
            <w:r w:rsidRPr="009D71A2">
              <w:rPr>
                <w:b/>
                <w:sz w:val="24"/>
              </w:rPr>
              <w:lastRenderedPageBreak/>
              <w:t>Active Mechanisms</w:t>
            </w:r>
          </w:p>
        </w:tc>
      </w:tr>
      <w:tr w:rsidR="001C2CA6" w:rsidRPr="003437B3" w:rsidTr="00E83BEE">
        <w:trPr>
          <w:cantSplit/>
          <w:trHeight w:val="1134"/>
          <w:jc w:val="center"/>
        </w:trPr>
        <w:tc>
          <w:tcPr>
            <w:tcW w:w="0" w:type="auto"/>
          </w:tcPr>
          <w:p w:rsidR="001C2CA6" w:rsidRPr="00481F9B" w:rsidRDefault="001C2CA6" w:rsidP="00481F9B">
            <w:pPr>
              <w:pStyle w:val="IRCBulletedBodyText"/>
            </w:pPr>
            <w:r w:rsidRPr="00126624">
              <w:t xml:space="preserve">Active </w:t>
            </w:r>
            <w:r w:rsidRPr="00481F9B">
              <w:t xml:space="preserve">feedback mechanisms are those which rely on IRC staff or partners to actively reach out to beneficiaries to solicit feedback. </w:t>
            </w:r>
          </w:p>
          <w:p w:rsidR="001C2CA6" w:rsidRPr="00481F9B" w:rsidRDefault="001C2CA6" w:rsidP="00481F9B">
            <w:pPr>
              <w:pStyle w:val="IRCBulletedBodyText"/>
            </w:pPr>
            <w:r w:rsidRPr="00481F9B">
              <w:t>Active mechanisms are rarely anonymous and do not typically receive sensitive claims. However, they are more likely than static mechanisms to receive positive feedback.</w:t>
            </w:r>
          </w:p>
          <w:p w:rsidR="001C2CA6" w:rsidRDefault="001C2CA6" w:rsidP="00481F9B">
            <w:pPr>
              <w:pStyle w:val="IRCBulletedBodyText"/>
            </w:pPr>
            <w:r w:rsidRPr="00481F9B">
              <w:t>Active mechanisms can be representative and quantitative, including surveys, score cards, assessment, and monitoring data. These may give a more holistic picture of beneficiary feedback than a static method alone.</w:t>
            </w:r>
          </w:p>
        </w:tc>
        <w:tc>
          <w:tcPr>
            <w:tcW w:w="0" w:type="auto"/>
          </w:tcPr>
          <w:p w:rsidR="001C2CA6" w:rsidRPr="00481F9B" w:rsidRDefault="001C2CA6" w:rsidP="00481F9B">
            <w:pPr>
              <w:pStyle w:val="IRCBulletedBodyText"/>
            </w:pPr>
            <w:r w:rsidRPr="00481F9B">
              <w:t>Open community meetings</w:t>
            </w:r>
          </w:p>
          <w:p w:rsidR="001C2CA6" w:rsidRPr="00481F9B" w:rsidRDefault="001C2CA6" w:rsidP="00481F9B">
            <w:pPr>
              <w:pStyle w:val="IRCBulletedBodyText"/>
            </w:pPr>
            <w:r w:rsidRPr="00481F9B">
              <w:t>Focus groups</w:t>
            </w:r>
          </w:p>
          <w:p w:rsidR="001C2CA6" w:rsidRPr="00481F9B" w:rsidRDefault="001C2CA6" w:rsidP="00481F9B">
            <w:pPr>
              <w:pStyle w:val="IRCBulletedBodyText"/>
            </w:pPr>
            <w:r w:rsidRPr="00481F9B">
              <w:t xml:space="preserve">Satisfaction surveys </w:t>
            </w:r>
          </w:p>
          <w:p w:rsidR="001C2CA6" w:rsidRPr="00481F9B" w:rsidRDefault="001C2CA6" w:rsidP="00481F9B">
            <w:pPr>
              <w:pStyle w:val="IRCBulletedBodyText"/>
            </w:pPr>
            <w:r w:rsidRPr="00481F9B">
              <w:t>Community score cards or report cards</w:t>
            </w:r>
          </w:p>
          <w:p w:rsidR="001C2CA6" w:rsidRPr="00481F9B" w:rsidRDefault="001C2CA6" w:rsidP="00481F9B">
            <w:pPr>
              <w:pStyle w:val="IRCBulletedBodyText"/>
            </w:pPr>
            <w:r w:rsidRPr="00481F9B">
              <w:t>Recipient committees</w:t>
            </w:r>
          </w:p>
          <w:p w:rsidR="001C2CA6" w:rsidRPr="00126624" w:rsidRDefault="001C2CA6" w:rsidP="00481F9B">
            <w:pPr>
              <w:pStyle w:val="IRCBulletedBodyText"/>
            </w:pPr>
            <w:r w:rsidRPr="00481F9B">
              <w:t>Community assessment and monitoring data</w:t>
            </w:r>
          </w:p>
        </w:tc>
      </w:tr>
    </w:tbl>
    <w:p w:rsidR="00481F9B" w:rsidRPr="00481F9B" w:rsidRDefault="00481F9B" w:rsidP="00481F9B">
      <w:pPr>
        <w:pStyle w:val="IRCBodyText"/>
        <w:rPr>
          <w:rStyle w:val="CharacterStyle1"/>
          <w:rFonts w:ascii="Arial" w:hAnsi="Arial" w:cs="Times New Roman"/>
          <w:color w:val="auto"/>
          <w:sz w:val="19"/>
          <w:szCs w:val="24"/>
        </w:rPr>
      </w:pPr>
      <w:r w:rsidRPr="00481F9B">
        <w:rPr>
          <w:rStyle w:val="CharacterStyle1"/>
          <w:rFonts w:ascii="Arial" w:hAnsi="Arial" w:cs="Times New Roman"/>
          <w:color w:val="auto"/>
          <w:sz w:val="19"/>
          <w:szCs w:val="24"/>
        </w:rPr>
        <w:t>In each emergency response a combination of both static and active methods for feedback will be utilized. Unless proven unfeasible, feedback mechanisms will be cross-sectoral and accommodate feedback from all IRC projects in the geographical area. However, in each case the same general process of setting up and utilizing feedback mechanisms will be used as follows:</w:t>
      </w:r>
    </w:p>
    <w:p w:rsidR="00481F9B" w:rsidRDefault="00EB7736" w:rsidP="00481F9B">
      <w:pPr>
        <w:pStyle w:val="BasicParagraph"/>
        <w:spacing w:line="240" w:lineRule="auto"/>
        <w:jc w:val="both"/>
        <w:rPr>
          <w:rStyle w:val="CharacterStyle1"/>
        </w:rPr>
      </w:pPr>
      <w:r w:rsidRPr="00EB7736">
        <w:rPr>
          <w:rFonts w:ascii="Akzidenz-Grotesk BQ Light" w:hAnsi="Akzidenz-Grotesk BQ Light" w:cs="Akzidenz-Grotesk BQ Light"/>
          <w:noProof/>
          <w:color w:val="auto"/>
          <w:sz w:val="22"/>
          <w:szCs w:val="22"/>
        </w:rPr>
        <w:drawing>
          <wp:inline distT="0" distB="0" distL="0" distR="0" wp14:anchorId="0A6AD6F6" wp14:editId="3FC55895">
            <wp:extent cx="6631940" cy="794657"/>
            <wp:effectExtent l="19050" t="0" r="16510" b="0"/>
            <wp:docPr id="10" name="Diagram 10"/>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481F9B" w:rsidRPr="009D71A2" w:rsidRDefault="00EB7736" w:rsidP="00EB7736">
      <w:pPr>
        <w:pStyle w:val="IRCIntroText"/>
        <w:rPr>
          <w:rStyle w:val="CharacterStyle1"/>
          <w:rFonts w:ascii="Arial" w:hAnsi="Arial" w:cs="Times New Roman"/>
          <w:b/>
          <w:color w:val="auto"/>
          <w:sz w:val="32"/>
          <w:szCs w:val="32"/>
        </w:rPr>
      </w:pPr>
      <w:bookmarkStart w:id="0" w:name="_GoBack"/>
      <w:r w:rsidRPr="009D71A2">
        <w:rPr>
          <w:rStyle w:val="CharacterStyle1"/>
          <w:rFonts w:ascii="Arial" w:hAnsi="Arial" w:cs="Times New Roman"/>
          <w:b/>
          <w:color w:val="auto"/>
          <w:sz w:val="32"/>
          <w:szCs w:val="32"/>
        </w:rPr>
        <w:t>4. Tasks &amp; Responsibilities</w:t>
      </w:r>
    </w:p>
    <w:bookmarkEnd w:id="0"/>
    <w:p w:rsidR="00481F9B" w:rsidRPr="00481F9B" w:rsidRDefault="00481F9B" w:rsidP="00481F9B">
      <w:pPr>
        <w:pStyle w:val="IRCBodyText"/>
      </w:pPr>
      <w:r w:rsidRPr="00481F9B">
        <w:t>Feedback mechanisms often require input from the majority of an emergency response team, including field level staff and admin</w:t>
      </w:r>
      <w:r w:rsidR="00EB7736">
        <w:t>istrative</w:t>
      </w:r>
      <w:r w:rsidRPr="00481F9B">
        <w:t xml:space="preserve"> staff. The </w:t>
      </w:r>
      <w:r w:rsidRPr="00EB7736">
        <w:rPr>
          <w:b/>
        </w:rPr>
        <w:t>Program Coordinators</w:t>
      </w:r>
      <w:r w:rsidRPr="00481F9B">
        <w:t xml:space="preserve"> are responsible for the majority of the design and set up, of feedback mechanisms. In most cases, </w:t>
      </w:r>
      <w:r w:rsidRPr="00EB7736">
        <w:rPr>
          <w:b/>
        </w:rPr>
        <w:t>field staff</w:t>
      </w:r>
      <w:r w:rsidRPr="00481F9B">
        <w:t xml:space="preserve"> or administrative staff will be involved in the actual collection, tracking, and referring of feedback. This means the </w:t>
      </w:r>
      <w:r w:rsidRPr="00EB7736">
        <w:rPr>
          <w:b/>
        </w:rPr>
        <w:t>Team Leader</w:t>
      </w:r>
      <w:r w:rsidRPr="00481F9B">
        <w:t xml:space="preserve"> is primarily responsible for ensuring that the feedback mechanisms are in place according to timelines, and that all actors have clear roles and responsibilities. This includes ensuring that together the feedback mechanisms are: </w:t>
      </w:r>
    </w:p>
    <w:p w:rsidR="00481F9B" w:rsidRPr="003D79FB" w:rsidRDefault="00481F9B" w:rsidP="003D79FB">
      <w:pPr>
        <w:pStyle w:val="IRCBulletedBodyText"/>
      </w:pPr>
      <w:r w:rsidRPr="003D79FB">
        <w:t xml:space="preserve">Publicized </w:t>
      </w:r>
      <w:r w:rsidR="003D79FB">
        <w:t>-</w:t>
      </w:r>
      <w:r w:rsidRPr="003D79FB">
        <w:t xml:space="preserve"> The community is aware of the right to give feedback, make complaints, and receive a response.</w:t>
      </w:r>
    </w:p>
    <w:p w:rsidR="00481F9B" w:rsidRPr="003D79FB" w:rsidRDefault="00481F9B" w:rsidP="003D79FB">
      <w:pPr>
        <w:pStyle w:val="IRCBulletedBodyText"/>
      </w:pPr>
      <w:r w:rsidRPr="003D79FB">
        <w:t xml:space="preserve">Accessible </w:t>
      </w:r>
      <w:r w:rsidR="003D79FB">
        <w:t>-</w:t>
      </w:r>
      <w:r w:rsidRPr="003D79FB">
        <w:t xml:space="preserve"> All groups, including the most vulnerable (illiterate, disabled, lack of phone, etc.), are able to participate in the process.</w:t>
      </w:r>
    </w:p>
    <w:p w:rsidR="00481F9B" w:rsidRPr="003D79FB" w:rsidRDefault="003D79FB" w:rsidP="003D79FB">
      <w:pPr>
        <w:pStyle w:val="IRCBulletedBodyText"/>
      </w:pPr>
      <w:r>
        <w:t>Safe -</w:t>
      </w:r>
      <w:r w:rsidR="00481F9B" w:rsidRPr="003D79FB">
        <w:t xml:space="preserve"> The locations and modalities of the mechanism(s) will be selected to minimize risk to the beneficiaries and will have an option for anonymous and/or confidential reporting.</w:t>
      </w:r>
    </w:p>
    <w:p w:rsidR="00481F9B" w:rsidRPr="003D79FB" w:rsidRDefault="00481F9B" w:rsidP="003D79FB">
      <w:pPr>
        <w:pStyle w:val="IRCBulletedBodyText"/>
      </w:pPr>
      <w:r w:rsidRPr="003D79FB">
        <w:t xml:space="preserve">Addressed </w:t>
      </w:r>
      <w:r w:rsidR="003D79FB">
        <w:t>-</w:t>
      </w:r>
      <w:r w:rsidRPr="003D79FB">
        <w:t xml:space="preserve"> Clear and transparent referral lines will be established. A referral to the SPC system (allegations of abuse, exploitation or fraud) will be in place, as well as a reporting line to each active sector for non-SPC related claims. Non-sensitive feedback should be addressed publicly, within the community, whenever possible.</w:t>
      </w:r>
    </w:p>
    <w:p w:rsidR="00481F9B" w:rsidRPr="00481F9B" w:rsidRDefault="00481F9B" w:rsidP="00481F9B">
      <w:pPr>
        <w:pStyle w:val="IRCBulletedBodyText"/>
      </w:pPr>
      <w:r w:rsidRPr="003D79FB">
        <w:t>There is a single procedure for staff handling and communication outlined in the Feedback Tracking Tool and in the response-specific Feedback Referral Guidelines.</w:t>
      </w:r>
    </w:p>
    <w:p w:rsidR="00481F9B" w:rsidRPr="00481F9B" w:rsidRDefault="00481F9B" w:rsidP="00481F9B">
      <w:pPr>
        <w:pStyle w:val="IRCBodyText"/>
      </w:pPr>
      <w:r w:rsidRPr="00481F9B">
        <w:t xml:space="preserve">The Team Leader will designate no more than </w:t>
      </w:r>
      <w:r w:rsidRPr="003D79FB">
        <w:rPr>
          <w:b/>
        </w:rPr>
        <w:t>two focal points</w:t>
      </w:r>
      <w:r w:rsidRPr="00481F9B">
        <w:t xml:space="preserve"> who will share responsibility for the operation of the modality(-ies) and the tracking and referral of claims. Ideally, these one or two focal points will be 1.) As independent from programs as possible (possibly an administrative officer), 2.) Speak one or more local languages, and 3.) Have the capacity to be trained in the use of the Feedback Tracking Tool (in Excel).</w:t>
      </w:r>
      <w:r w:rsidRPr="003D79FB">
        <w:rPr>
          <w:rStyle w:val="FootnoteReference"/>
        </w:rPr>
        <w:footnoteReference w:id="8"/>
      </w:r>
    </w:p>
    <w:p w:rsidR="00481F9B" w:rsidRPr="00481F9B" w:rsidRDefault="00481F9B" w:rsidP="00481F9B">
      <w:pPr>
        <w:pStyle w:val="IRCBodyText"/>
      </w:pPr>
      <w:r w:rsidRPr="00481F9B">
        <w:lastRenderedPageBreak/>
        <w:t xml:space="preserve">Focal points will refer non-SPC related feedback to the appropriate </w:t>
      </w:r>
      <w:r w:rsidRPr="003D79FB">
        <w:rPr>
          <w:b/>
        </w:rPr>
        <w:t>Program Coordinator/Manager</w:t>
      </w:r>
      <w:r w:rsidRPr="00481F9B">
        <w:t xml:space="preserve"> who will then be responsible for taking appropriate action concerning the claim, and report back within the tracking tool the type of action taken. Options for follow-up include phone calls, house visits, community/group meetings, posters, individual meetings, or a determination that follow-up was either not possible or irrelevant. If feedback is regarding a non-IRC program, the team will do its best to inform the appropriate actor, as well as to inform the beneficiary where he or she may go to pursue the issue. The </w:t>
      </w:r>
      <w:r w:rsidRPr="003D79FB">
        <w:rPr>
          <w:b/>
        </w:rPr>
        <w:t>Team Leader</w:t>
      </w:r>
      <w:r w:rsidRPr="00481F9B">
        <w:t xml:space="preserve"> will track all claims and subsequent action, following their receipt (monitored by the focal point(s)</w:t>
      </w:r>
      <w:r w:rsidR="003D79FB">
        <w:t>)</w:t>
      </w:r>
      <w:r w:rsidRPr="00481F9B">
        <w:t xml:space="preserve"> and their redress (undertaken by the Program Coordinators and the Team Leader).</w:t>
      </w:r>
    </w:p>
    <w:p w:rsidR="00481F9B" w:rsidRPr="00481F9B" w:rsidRDefault="00481F9B" w:rsidP="00481F9B">
      <w:pPr>
        <w:pStyle w:val="IRCBodyText"/>
      </w:pPr>
      <w:r w:rsidRPr="00481F9B">
        <w:t>Any and all claims that come through the feedback mechanism that indicate concerns related to the SPC will be referred immediately and confidentially by the receiver of the claim to the leader of the response for appropriate investigation or onward reporting.</w:t>
      </w:r>
    </w:p>
    <w:p w:rsidR="00481F9B" w:rsidRPr="009D71A2" w:rsidRDefault="003D79FB" w:rsidP="003D79FB">
      <w:pPr>
        <w:pStyle w:val="IRCIntroText"/>
        <w:rPr>
          <w:b/>
          <w:sz w:val="32"/>
        </w:rPr>
      </w:pPr>
      <w:r w:rsidRPr="009D71A2">
        <w:rPr>
          <w:b/>
          <w:sz w:val="32"/>
        </w:rPr>
        <w:t>5. Time &amp; Sequence</w:t>
      </w:r>
    </w:p>
    <w:p w:rsidR="00481F9B" w:rsidRPr="00481F9B" w:rsidRDefault="00481F9B" w:rsidP="003D79FB">
      <w:pPr>
        <w:pStyle w:val="IRCBulletedBodyText"/>
        <w:numPr>
          <w:ilvl w:val="0"/>
          <w:numId w:val="12"/>
        </w:numPr>
      </w:pPr>
      <w:r w:rsidRPr="00481F9B">
        <w:t xml:space="preserve">Within the </w:t>
      </w:r>
      <w:r w:rsidRPr="003D79FB">
        <w:rPr>
          <w:b/>
        </w:rPr>
        <w:t>first three weeks of provision of emergency assistance</w:t>
      </w:r>
      <w:r w:rsidRPr="00481F9B">
        <w:t xml:space="preserve"> led by the EPRU, regardless of the sector or the project, formal feedback mechanisms must be in place. In all cases, the IRC will ensure that more than one reporting location is available and in more than one modality. Optimal locations are both private and communal, for example, latrines, religious buildings, and health centers, etc.</w:t>
      </w:r>
    </w:p>
    <w:p w:rsidR="00481F9B" w:rsidRPr="00481F9B" w:rsidRDefault="00481F9B" w:rsidP="003D79FB">
      <w:pPr>
        <w:pStyle w:val="IRCBulletedBodyText"/>
        <w:numPr>
          <w:ilvl w:val="0"/>
          <w:numId w:val="12"/>
        </w:numPr>
      </w:pPr>
      <w:r w:rsidRPr="00481F9B">
        <w:t xml:space="preserve">By the </w:t>
      </w:r>
      <w:r w:rsidRPr="003D79FB">
        <w:rPr>
          <w:b/>
        </w:rPr>
        <w:t>fourth week</w:t>
      </w:r>
      <w:r w:rsidRPr="00481F9B">
        <w:t xml:space="preserve"> of programming, the static mechanism(s) will be prominently advertised in beneficiary communities and operational, available at a minimum 50% of work hours.</w:t>
      </w:r>
    </w:p>
    <w:p w:rsidR="00481F9B" w:rsidRPr="00481F9B" w:rsidRDefault="00481F9B" w:rsidP="003D79FB">
      <w:pPr>
        <w:pStyle w:val="IRCBulletedBodyText"/>
        <w:numPr>
          <w:ilvl w:val="0"/>
          <w:numId w:val="12"/>
        </w:numPr>
      </w:pPr>
      <w:r w:rsidRPr="00481F9B">
        <w:t xml:space="preserve">By the </w:t>
      </w:r>
      <w:r w:rsidRPr="003D79FB">
        <w:rPr>
          <w:b/>
        </w:rPr>
        <w:t>fourth week</w:t>
      </w:r>
      <w:r w:rsidRPr="00481F9B">
        <w:t xml:space="preserve"> of programming, active feedback mechanisms should be planned, and staff should be trained in using them.</w:t>
      </w:r>
    </w:p>
    <w:p w:rsidR="00481F9B" w:rsidRPr="00481F9B" w:rsidRDefault="00481F9B" w:rsidP="003D79FB">
      <w:pPr>
        <w:pStyle w:val="IRCBulletedBodyText"/>
        <w:numPr>
          <w:ilvl w:val="0"/>
          <w:numId w:val="12"/>
        </w:numPr>
      </w:pPr>
      <w:r w:rsidRPr="003D79FB">
        <w:rPr>
          <w:b/>
        </w:rPr>
        <w:t>Throughout the response</w:t>
      </w:r>
      <w:r w:rsidRPr="00481F9B">
        <w:t xml:space="preserve">, feedback will be received, recorded, referred, addressed, and tracked. </w:t>
      </w:r>
    </w:p>
    <w:p w:rsidR="00481F9B" w:rsidRPr="009D71A2" w:rsidRDefault="003D79FB" w:rsidP="003D79FB">
      <w:pPr>
        <w:pStyle w:val="IRCIntroText"/>
        <w:rPr>
          <w:b/>
          <w:sz w:val="32"/>
        </w:rPr>
      </w:pPr>
      <w:r w:rsidRPr="009D71A2">
        <w:rPr>
          <w:b/>
          <w:sz w:val="32"/>
        </w:rPr>
        <w:t>6. Available Tools</w:t>
      </w:r>
    </w:p>
    <w:p w:rsidR="00481F9B" w:rsidRPr="00481F9B" w:rsidRDefault="00481F9B" w:rsidP="003D79FB">
      <w:pPr>
        <w:pStyle w:val="IRCBulletedBodyText"/>
      </w:pPr>
      <w:r w:rsidRPr="00481F9B">
        <w:t>Sample Response Specific Feedback Plan (including Feedback Referral Guidelines)</w:t>
      </w:r>
      <w:r w:rsidRPr="00F44084">
        <w:rPr>
          <w:rStyle w:val="FootnoteReference"/>
        </w:rPr>
        <w:footnoteReference w:id="9"/>
      </w:r>
    </w:p>
    <w:p w:rsidR="00481F9B" w:rsidRPr="00481F9B" w:rsidRDefault="00481F9B" w:rsidP="003D79FB">
      <w:pPr>
        <w:pStyle w:val="IRCBulletedBodyText"/>
      </w:pPr>
      <w:r w:rsidRPr="00481F9B">
        <w:t xml:space="preserve">Feedback Tracking Tool </w:t>
      </w:r>
    </w:p>
    <w:p w:rsidR="00481F9B" w:rsidRPr="00481F9B" w:rsidRDefault="00481F9B" w:rsidP="003D79FB">
      <w:pPr>
        <w:pStyle w:val="IRCBulletedBodyText"/>
      </w:pPr>
      <w:r w:rsidRPr="00481F9B">
        <w:t>Sample Feedback Poster</w:t>
      </w:r>
    </w:p>
    <w:p w:rsidR="00481F9B" w:rsidRPr="00481F9B" w:rsidRDefault="00481F9B" w:rsidP="003D79FB">
      <w:pPr>
        <w:pStyle w:val="IRCBulletedBodyText"/>
      </w:pPr>
      <w:r w:rsidRPr="00481F9B">
        <w:t>The IRC Way - Standards for Professional Conduct (SPC)</w:t>
      </w:r>
    </w:p>
    <w:p w:rsidR="00481F9B" w:rsidRPr="00481F9B" w:rsidRDefault="00481F9B" w:rsidP="00481F9B">
      <w:pPr>
        <w:pStyle w:val="IRCBulletedBodyText"/>
      </w:pPr>
      <w:r w:rsidRPr="00481F9B">
        <w:t>SMS/Phone Feedback Collection Tool - Allows for automated collection of SMS and/or phone calls containing feedback</w:t>
      </w:r>
      <w:r w:rsidRPr="00F44084">
        <w:rPr>
          <w:rStyle w:val="FootnoteReference"/>
        </w:rPr>
        <w:footnoteReference w:id="10"/>
      </w:r>
    </w:p>
    <w:p w:rsidR="003D79FB" w:rsidRPr="00DB4F39" w:rsidRDefault="003D79FB" w:rsidP="00F44084">
      <w:pPr>
        <w:pStyle w:val="IRCBodyText"/>
        <w:tabs>
          <w:tab w:val="left" w:pos="1170"/>
        </w:tabs>
        <w:rPr>
          <w:sz w:val="22"/>
          <w:szCs w:val="22"/>
        </w:rPr>
      </w:pPr>
    </w:p>
    <w:p w:rsidR="003D79FB" w:rsidRPr="003D79FB" w:rsidRDefault="003D79FB" w:rsidP="003D79FB">
      <w:pPr>
        <w:pStyle w:val="IRCBodyText"/>
      </w:pPr>
      <w:r w:rsidRPr="003D79FB">
        <w:t>Prepared by:</w:t>
      </w:r>
    </w:p>
    <w:p w:rsidR="00E27BF7" w:rsidRPr="003D79FB" w:rsidRDefault="003D79FB" w:rsidP="003D79FB">
      <w:pPr>
        <w:pStyle w:val="IRCBodyText"/>
      </w:pPr>
      <w:r w:rsidRPr="003D79FB">
        <w:t>Emergency Unit</w:t>
      </w:r>
      <w:r w:rsidRPr="003D79FB">
        <w:br/>
      </w:r>
      <w:r w:rsidRPr="003D79FB">
        <w:rPr>
          <w:b/>
        </w:rPr>
        <w:t>International Rescue Committee</w:t>
      </w:r>
      <w:r w:rsidRPr="003D79FB">
        <w:rPr>
          <w:b/>
        </w:rPr>
        <w:br/>
      </w:r>
      <w:r w:rsidRPr="003D79FB">
        <w:t>122 East 42nd Street</w:t>
      </w:r>
      <w:r w:rsidRPr="003D79FB">
        <w:br/>
        <w:t>New York, NY 10168-1289</w:t>
      </w:r>
      <w:r w:rsidRPr="003D79FB">
        <w:br/>
        <w:t>212 551 3000</w:t>
      </w:r>
      <w:r w:rsidRPr="003D79FB">
        <w:br/>
      </w:r>
      <w:r w:rsidR="00670CA0">
        <w:t>R</w:t>
      </w:r>
      <w:r w:rsidRPr="003D79FB">
        <w:t>escue.org</w:t>
      </w:r>
    </w:p>
    <w:sectPr w:rsidR="00E27BF7" w:rsidRPr="003D79FB" w:rsidSect="00E27BF7">
      <w:headerReference w:type="default" r:id="rId17"/>
      <w:footerReference w:type="default" r:id="rId18"/>
      <w:headerReference w:type="first" r:id="rId19"/>
      <w:footerReference w:type="first" r:id="rId20"/>
      <w:pgSz w:w="12240" w:h="15840"/>
      <w:pgMar w:top="1541" w:right="720" w:bottom="1080" w:left="720" w:header="720" w:footer="115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6CB1" w:rsidRDefault="00406CB1">
      <w:r>
        <w:separator/>
      </w:r>
    </w:p>
  </w:endnote>
  <w:endnote w:type="continuationSeparator" w:id="0">
    <w:p w:rsidR="00406CB1" w:rsidRDefault="00406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pitch w:val="variable"/>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kzidenz-Grotesk BQ Light">
    <w:altName w:val="Times New Roman"/>
    <w:charset w:val="00"/>
    <w:family w:val="auto"/>
    <w:pitch w:val="variable"/>
    <w:sig w:usb0="00000001" w:usb1="0000000A" w:usb2="00000000" w:usb3="00000000" w:csb0="00000111" w:csb1="00000000"/>
  </w:font>
  <w:font w:name="Minion Pro">
    <w:altName w:val="Cambria Math"/>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F9B" w:rsidRPr="00853624" w:rsidRDefault="00406CB1" w:rsidP="004855C3">
    <w:pPr>
      <w:pStyle w:val="Footer"/>
    </w:pPr>
    <w:r>
      <w:rPr>
        <w:noProof/>
      </w:rPr>
      <w:pict>
        <v:shapetype id="_x0000_t202" coordsize="21600,21600" o:spt="202" path="m,l,21600r21600,l21600,xe">
          <v:stroke joinstyle="miter"/>
          <v:path gradientshapeok="t" o:connecttype="rect"/>
        </v:shapetype>
        <v:shape id="_x0000_s2080" type="#_x0000_t202" style="position:absolute;margin-left:36pt;margin-top:732.95pt;width:540pt;height:23.05pt;z-index:251665920;visibility:visible;mso-position-horizontal-relative:page;mso-position-vertical-relative:page" wrapcoords="-30 0 -30 20903 21600 20903 2160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" fillcolor="black" stroked="f" strokecolor="#fdc82f" strokeweight=".5pt">
          <v:textbox style="mso-next-textbox:#_x0000_s2080" inset="10.8pt,5.76pt,,0">
            <w:txbxContent>
              <w:p w:rsidR="00481F9B" w:rsidRPr="006B4BC3" w:rsidRDefault="00481F9B" w:rsidP="00FE068D">
                <w:pPr>
                  <w:pStyle w:val="Footer"/>
                  <w:rPr>
                    <w:rFonts w:ascii="Arial" w:hAnsi="Arial" w:cs="Arial"/>
                    <w:b/>
                    <w:color w:val="FDC82F"/>
                    <w:spacing w:val="-10"/>
                    <w:sz w:val="20"/>
                    <w:szCs w:val="20"/>
                  </w:rPr>
                </w:pPr>
                <w:r w:rsidRPr="006B4BC3">
                  <w:rPr>
                    <w:rFonts w:ascii="Arial" w:hAnsi="Arial"/>
                    <w:b/>
                    <w:color w:val="FDC82F"/>
                    <w:spacing w:val="-10"/>
                    <w:sz w:val="20"/>
                    <w:szCs w:val="20"/>
                  </w:rPr>
                  <w:t>From Harm To Home</w:t>
                </w:r>
                <w:r w:rsidRPr="006B4BC3">
                  <w:rPr>
                    <w:rFonts w:ascii="Arial Bold" w:hAnsi="Arial Bold"/>
                    <w:color w:val="FDC82F"/>
                    <w:spacing w:val="-10"/>
                    <w:sz w:val="20"/>
                    <w:szCs w:val="20"/>
                  </w:rPr>
                  <w:t xml:space="preserve">  </w:t>
                </w:r>
                <w:r w:rsidRPr="006B4BC3">
                  <w:rPr>
                    <w:rFonts w:ascii="Arial" w:hAnsi="Arial"/>
                    <w:color w:val="FDC82F"/>
                    <w:spacing w:val="-10"/>
                    <w:sz w:val="20"/>
                    <w:szCs w:val="20"/>
                  </w:rPr>
                  <w:t xml:space="preserve">|  </w:t>
                </w:r>
                <w:r w:rsidRPr="006B4BC3">
                  <w:rPr>
                    <w:rFonts w:ascii="Arial" w:hAnsi="Arial" w:cs="Arial"/>
                    <w:b/>
                    <w:bCs/>
                    <w:color w:val="FDC82F"/>
                    <w:spacing w:val="-10"/>
                    <w:sz w:val="20"/>
                    <w:szCs w:val="20"/>
                  </w:rPr>
                  <w:t>Rescue.org</w:t>
                </w:r>
              </w:p>
              <w:p w:rsidR="00481F9B" w:rsidRDefault="00481F9B" w:rsidP="00FE068D"/>
              <w:p w:rsidR="00481F9B" w:rsidRDefault="00481F9B" w:rsidP="004855C3"/>
            </w:txbxContent>
          </v:textbox>
          <w10:wrap type="tight"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F9B" w:rsidRDefault="00406CB1">
    <w:pPr>
      <w:pStyle w:val="Footer"/>
    </w:pPr>
    <w:r>
      <w:rPr>
        <w:noProof/>
      </w:rPr>
      <w:pict>
        <v:shapetype id="_x0000_t202" coordsize="21600,21600" o:spt="202" path="m,l,21600r21600,l21600,xe">
          <v:stroke joinstyle="miter"/>
          <v:path gradientshapeok="t" o:connecttype="rect"/>
        </v:shapetype>
        <v:shape id="_x0000_s2079" type="#_x0000_t202" style="position:absolute;margin-left:36pt;margin-top:732.95pt;width:540pt;height:23.05pt;z-index:251664896;visibility:visible;mso-position-horizontal-relative:page;mso-position-vertical-relative:page;v-text-anchor:middle" wrapcoords="-30 -697 -30 21600 21630 21600 21630 -697 -30 -69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" fillcolor="black" strokecolor="black [3213]" strokeweight="1pt">
          <v:textbox style="mso-next-textbox:#_x0000_s2079" inset="10.8pt,5.76pt,,0">
            <w:txbxContent>
              <w:p w:rsidR="00481F9B" w:rsidRPr="006B4BC3" w:rsidRDefault="00481F9B" w:rsidP="006B4BC3">
                <w:pPr>
                  <w:pStyle w:val="Footer"/>
                  <w:rPr>
                    <w:rFonts w:ascii="Arial" w:hAnsi="Arial" w:cs="Arial"/>
                    <w:b/>
                    <w:color w:val="FDC82F"/>
                    <w:spacing w:val="-10"/>
                    <w:sz w:val="20"/>
                    <w:szCs w:val="20"/>
                  </w:rPr>
                </w:pPr>
                <w:r w:rsidRPr="006B4BC3">
                  <w:rPr>
                    <w:rFonts w:ascii="Arial" w:hAnsi="Arial"/>
                    <w:b/>
                    <w:color w:val="FDC82F"/>
                    <w:spacing w:val="-10"/>
                    <w:sz w:val="20"/>
                    <w:szCs w:val="20"/>
                  </w:rPr>
                  <w:t>From Harm To Home</w:t>
                </w:r>
                <w:r w:rsidRPr="006B4BC3">
                  <w:rPr>
                    <w:rFonts w:ascii="Arial Bold" w:hAnsi="Arial Bold"/>
                    <w:color w:val="FDC82F"/>
                    <w:spacing w:val="-10"/>
                    <w:sz w:val="20"/>
                    <w:szCs w:val="20"/>
                  </w:rPr>
                  <w:t xml:space="preserve">  </w:t>
                </w:r>
                <w:r w:rsidRPr="006B4BC3">
                  <w:rPr>
                    <w:rFonts w:ascii="Arial" w:hAnsi="Arial"/>
                    <w:color w:val="FDC82F"/>
                    <w:spacing w:val="-10"/>
                    <w:sz w:val="20"/>
                    <w:szCs w:val="20"/>
                  </w:rPr>
                  <w:t xml:space="preserve">|  </w:t>
                </w:r>
                <w:r w:rsidRPr="006B4BC3">
                  <w:rPr>
                    <w:rFonts w:ascii="Arial" w:hAnsi="Arial" w:cs="Arial"/>
                    <w:b/>
                    <w:bCs/>
                    <w:color w:val="FDC82F"/>
                    <w:spacing w:val="-10"/>
                    <w:sz w:val="20"/>
                    <w:szCs w:val="20"/>
                  </w:rPr>
                  <w:t>Rescue.org</w:t>
                </w:r>
              </w:p>
              <w:p w:rsidR="00481F9B" w:rsidRDefault="00481F9B" w:rsidP="004855C3"/>
            </w:txbxContent>
          </v:textbox>
          <w10:wrap type="tight"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5C3" w:rsidRPr="00853624" w:rsidRDefault="00406CB1" w:rsidP="004855C3">
    <w:pPr>
      <w:pStyle w:val="Footer"/>
    </w:pPr>
    <w:r>
      <w:rPr>
        <w:noProof/>
      </w:rPr>
      <w:pict>
        <v:shapetype id="_x0000_t202" coordsize="21600,21600" o:spt="202" path="m,l,21600r21600,l21600,xe">
          <v:stroke joinstyle="miter"/>
          <v:path gradientshapeok="t" o:connecttype="rect"/>
        </v:shapetype>
        <v:shape id="Text Box 19" o:spid="_x0000_s2051" type="#_x0000_t202" style="position:absolute;margin-left:36pt;margin-top:732.95pt;width:540pt;height:23.05pt;z-index:251659776;visibility:visible;mso-position-horizontal-relative:page;mso-position-vertical-relative:page" wrapcoords="-30 0 -30 20903 21600 20903 2160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" fillcolor="black" stroked="f" strokecolor="#fdc82f" strokeweight=".5pt">
          <v:textbox style="mso-next-textbox:#Text Box 19" inset="10.8pt,5.76pt,,0">
            <w:txbxContent>
              <w:p w:rsidR="00FE068D" w:rsidRPr="006B4BC3" w:rsidRDefault="00FE068D" w:rsidP="00FE068D">
                <w:pPr>
                  <w:pStyle w:val="Footer"/>
                  <w:rPr>
                    <w:rFonts w:ascii="Arial" w:hAnsi="Arial" w:cs="Arial"/>
                    <w:b/>
                    <w:color w:val="FDC82F"/>
                    <w:spacing w:val="-10"/>
                    <w:sz w:val="20"/>
                    <w:szCs w:val="20"/>
                  </w:rPr>
                </w:pPr>
                <w:r w:rsidRPr="006B4BC3">
                  <w:rPr>
                    <w:rFonts w:ascii="Arial" w:hAnsi="Arial"/>
                    <w:b/>
                    <w:color w:val="FDC82F"/>
                    <w:spacing w:val="-10"/>
                    <w:sz w:val="20"/>
                    <w:szCs w:val="20"/>
                  </w:rPr>
                  <w:t>From Harm To Home</w:t>
                </w:r>
                <w:r w:rsidRPr="006B4BC3">
                  <w:rPr>
                    <w:rFonts w:ascii="Arial Bold" w:hAnsi="Arial Bold"/>
                    <w:color w:val="FDC82F"/>
                    <w:spacing w:val="-10"/>
                    <w:sz w:val="20"/>
                    <w:szCs w:val="20"/>
                  </w:rPr>
                  <w:t xml:space="preserve">  </w:t>
                </w:r>
                <w:r w:rsidRPr="006B4BC3">
                  <w:rPr>
                    <w:rFonts w:ascii="Arial" w:hAnsi="Arial"/>
                    <w:color w:val="FDC82F"/>
                    <w:spacing w:val="-10"/>
                    <w:sz w:val="20"/>
                    <w:szCs w:val="20"/>
                  </w:rPr>
                  <w:t xml:space="preserve">|  </w:t>
                </w:r>
                <w:r w:rsidRPr="006B4BC3">
                  <w:rPr>
                    <w:rFonts w:ascii="Arial" w:hAnsi="Arial" w:cs="Arial"/>
                    <w:b/>
                    <w:bCs/>
                    <w:color w:val="FDC82F"/>
                    <w:spacing w:val="-10"/>
                    <w:sz w:val="20"/>
                    <w:szCs w:val="20"/>
                  </w:rPr>
                  <w:t>Rescue.org</w:t>
                </w:r>
              </w:p>
              <w:p w:rsidR="00FE068D" w:rsidRDefault="00FE068D" w:rsidP="00FE068D"/>
              <w:p w:rsidR="004855C3" w:rsidRDefault="004855C3" w:rsidP="004855C3"/>
            </w:txbxContent>
          </v:textbox>
          <w10:wrap type="tight" anchorx="page" anchory="page"/>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5C3" w:rsidRDefault="00406CB1">
    <w:pPr>
      <w:pStyle w:val="Footer"/>
    </w:pPr>
    <w:r>
      <w:rPr>
        <w:noProof/>
      </w:rPr>
      <w:pict>
        <v:shapetype id="_x0000_t202" coordsize="21600,21600" o:spt="202" path="m,l,21600r21600,l21600,xe">
          <v:stroke joinstyle="miter"/>
          <v:path gradientshapeok="t" o:connecttype="rect"/>
        </v:shapetype>
        <v:shape id="Text Box 18" o:spid="_x0000_s2049" type="#_x0000_t202" style="position:absolute;margin-left:36pt;margin-top:732.95pt;width:540pt;height:23.05pt;z-index:251658752;visibility:visible;mso-position-horizontal-relative:page;mso-position-vertical-relative:page;v-text-anchor:middle" wrapcoords="-30 -697 -30 21600 21630 21600 21630 -697 -30 -697"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" fillcolor="black" strokecolor="black [3213]" strokeweight="1pt">
          <v:textbox style="mso-next-textbox:#Text Box 18" inset="10.8pt,5.76pt,,0">
            <w:txbxContent>
              <w:p w:rsidR="006B4BC3" w:rsidRPr="006B4BC3" w:rsidRDefault="006B4BC3" w:rsidP="006B4BC3">
                <w:pPr>
                  <w:pStyle w:val="Footer"/>
                  <w:rPr>
                    <w:rFonts w:ascii="Arial" w:hAnsi="Arial" w:cs="Arial"/>
                    <w:b/>
                    <w:color w:val="FDC82F"/>
                    <w:spacing w:val="-10"/>
                    <w:sz w:val="20"/>
                    <w:szCs w:val="20"/>
                  </w:rPr>
                </w:pPr>
                <w:r w:rsidRPr="006B4BC3">
                  <w:rPr>
                    <w:rFonts w:ascii="Arial" w:hAnsi="Arial"/>
                    <w:b/>
                    <w:color w:val="FDC82F"/>
                    <w:spacing w:val="-10"/>
                    <w:sz w:val="20"/>
                    <w:szCs w:val="20"/>
                  </w:rPr>
                  <w:t>From Harm To Home</w:t>
                </w:r>
                <w:r w:rsidRPr="006B4BC3">
                  <w:rPr>
                    <w:rFonts w:ascii="Arial Bold" w:hAnsi="Arial Bold"/>
                    <w:color w:val="FDC82F"/>
                    <w:spacing w:val="-10"/>
                    <w:sz w:val="20"/>
                    <w:szCs w:val="20"/>
                  </w:rPr>
                  <w:t xml:space="preserve">  </w:t>
                </w:r>
                <w:r w:rsidRPr="006B4BC3">
                  <w:rPr>
                    <w:rFonts w:ascii="Arial" w:hAnsi="Arial"/>
                    <w:color w:val="FDC82F"/>
                    <w:spacing w:val="-10"/>
                    <w:sz w:val="20"/>
                    <w:szCs w:val="20"/>
                  </w:rPr>
                  <w:t xml:space="preserve">|  </w:t>
                </w:r>
                <w:r w:rsidRPr="006B4BC3">
                  <w:rPr>
                    <w:rFonts w:ascii="Arial" w:hAnsi="Arial" w:cs="Arial"/>
                    <w:b/>
                    <w:bCs/>
                    <w:color w:val="FDC82F"/>
                    <w:spacing w:val="-10"/>
                    <w:sz w:val="20"/>
                    <w:szCs w:val="20"/>
                  </w:rPr>
                  <w:t>Rescue.org</w:t>
                </w:r>
              </w:p>
              <w:p w:rsidR="004855C3" w:rsidRDefault="004855C3" w:rsidP="004855C3"/>
            </w:txbxContent>
          </v:textbox>
          <w10:wrap type="tight"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6CB1" w:rsidRDefault="00406CB1">
      <w:r>
        <w:separator/>
      </w:r>
    </w:p>
  </w:footnote>
  <w:footnote w:type="continuationSeparator" w:id="0">
    <w:p w:rsidR="00406CB1" w:rsidRDefault="00406CB1">
      <w:r>
        <w:continuationSeparator/>
      </w:r>
    </w:p>
  </w:footnote>
  <w:footnote w:id="1">
    <w:p w:rsidR="00481F9B" w:rsidRPr="00464282" w:rsidRDefault="00481F9B" w:rsidP="00481F9B">
      <w:pPr>
        <w:pStyle w:val="FootnoteText"/>
        <w:rPr>
          <w:rFonts w:ascii="Arial" w:hAnsi="Arial" w:cs="Arial"/>
          <w:sz w:val="16"/>
          <w:szCs w:val="16"/>
        </w:rPr>
      </w:pPr>
      <w:r w:rsidRPr="00464282">
        <w:rPr>
          <w:rStyle w:val="FootnoteReference"/>
          <w:rFonts w:ascii="Arial" w:hAnsi="Arial" w:cs="Arial"/>
          <w:sz w:val="16"/>
          <w:szCs w:val="16"/>
        </w:rPr>
        <w:footnoteRef/>
      </w:r>
      <w:hyperlink r:id="rId1" w:history="1">
        <w:r w:rsidRPr="00464282">
          <w:rPr>
            <w:rStyle w:val="Hyperlink"/>
            <w:rFonts w:ascii="Arial" w:hAnsi="Arial" w:cs="Arial"/>
            <w:sz w:val="16"/>
            <w:szCs w:val="16"/>
          </w:rPr>
          <w:t>Collaborative Learning Projects; Feedback Mechanisms in International Assistance Organizations; 2011</w:t>
        </w:r>
      </w:hyperlink>
      <w:r w:rsidRPr="00464282">
        <w:rPr>
          <w:rFonts w:ascii="Arial" w:hAnsi="Arial" w:cs="Arial"/>
          <w:sz w:val="16"/>
          <w:szCs w:val="16"/>
        </w:rPr>
        <w:t>.</w:t>
      </w:r>
    </w:p>
  </w:footnote>
  <w:footnote w:id="2">
    <w:p w:rsidR="00481F9B" w:rsidRPr="00464282" w:rsidRDefault="00481F9B" w:rsidP="00481F9B">
      <w:pPr>
        <w:pStyle w:val="FootnoteText"/>
        <w:rPr>
          <w:rFonts w:ascii="Arial" w:hAnsi="Arial" w:cs="Arial"/>
          <w:sz w:val="16"/>
          <w:szCs w:val="16"/>
        </w:rPr>
      </w:pPr>
      <w:r w:rsidRPr="00464282">
        <w:rPr>
          <w:rStyle w:val="FootnoteReference"/>
          <w:rFonts w:ascii="Arial" w:hAnsi="Arial" w:cs="Arial"/>
          <w:sz w:val="16"/>
          <w:szCs w:val="16"/>
        </w:rPr>
        <w:footnoteRef/>
      </w:r>
      <w:r w:rsidRPr="00E83BEE">
        <w:rPr>
          <w:rFonts w:ascii="Arial" w:hAnsi="Arial" w:cs="Arial"/>
          <w:i/>
          <w:sz w:val="16"/>
          <w:szCs w:val="16"/>
        </w:rPr>
        <w:t>Ibid</w:t>
      </w:r>
      <w:r w:rsidRPr="00464282">
        <w:rPr>
          <w:rFonts w:ascii="Arial" w:hAnsi="Arial" w:cs="Arial"/>
          <w:sz w:val="16"/>
          <w:szCs w:val="16"/>
        </w:rPr>
        <w:t>.</w:t>
      </w:r>
    </w:p>
  </w:footnote>
  <w:footnote w:id="3">
    <w:p w:rsidR="00481F9B" w:rsidRPr="00464282" w:rsidRDefault="00481F9B" w:rsidP="00481F9B">
      <w:pPr>
        <w:pStyle w:val="FootnoteText"/>
        <w:rPr>
          <w:rFonts w:ascii="Arial" w:hAnsi="Arial" w:cs="Arial"/>
          <w:sz w:val="16"/>
          <w:szCs w:val="16"/>
        </w:rPr>
      </w:pPr>
      <w:r w:rsidRPr="00464282">
        <w:rPr>
          <w:rStyle w:val="FootnoteReference"/>
          <w:rFonts w:ascii="Arial" w:hAnsi="Arial" w:cs="Arial"/>
          <w:sz w:val="16"/>
          <w:szCs w:val="16"/>
        </w:rPr>
        <w:footnoteRef/>
      </w:r>
      <w:hyperlink r:id="rId2" w:history="1">
        <w:r w:rsidRPr="00464282">
          <w:rPr>
            <w:rStyle w:val="Hyperlink"/>
            <w:rFonts w:ascii="Arial" w:hAnsi="Arial" w:cs="Arial"/>
            <w:sz w:val="16"/>
            <w:szCs w:val="16"/>
          </w:rPr>
          <w:t>Anderson; Brown; Jean. Time to Listen. The Listening Project; 2012</w:t>
        </w:r>
      </w:hyperlink>
      <w:r w:rsidRPr="00464282">
        <w:rPr>
          <w:rFonts w:ascii="Arial" w:hAnsi="Arial" w:cs="Arial"/>
          <w:sz w:val="16"/>
          <w:szCs w:val="16"/>
        </w:rPr>
        <w:t>.</w:t>
      </w:r>
    </w:p>
  </w:footnote>
  <w:footnote w:id="4">
    <w:p w:rsidR="00481F9B" w:rsidRPr="001C2CA6" w:rsidRDefault="00481F9B" w:rsidP="00481F9B">
      <w:pPr>
        <w:pStyle w:val="FootnoteText"/>
        <w:rPr>
          <w:rFonts w:ascii="Arial" w:hAnsi="Arial" w:cs="Arial"/>
          <w:sz w:val="16"/>
          <w:szCs w:val="16"/>
        </w:rPr>
      </w:pPr>
      <w:r w:rsidRPr="001C2CA6">
        <w:rPr>
          <w:rStyle w:val="FootnoteReference"/>
          <w:rFonts w:ascii="Arial" w:hAnsi="Arial" w:cs="Arial"/>
          <w:sz w:val="16"/>
          <w:szCs w:val="16"/>
        </w:rPr>
        <w:footnoteRef/>
      </w:r>
      <w:hyperlink r:id="rId3" w:history="1">
        <w:r w:rsidRPr="001C2CA6">
          <w:rPr>
            <w:rStyle w:val="Hyperlink"/>
            <w:rFonts w:ascii="Arial" w:hAnsi="Arial" w:cs="Arial"/>
            <w:sz w:val="16"/>
            <w:szCs w:val="16"/>
          </w:rPr>
          <w:t>Collaborative Learning Projects; Feedback Mechanisms in International Assistance Organizations; 2011</w:t>
        </w:r>
      </w:hyperlink>
      <w:r w:rsidRPr="001C2CA6">
        <w:rPr>
          <w:rFonts w:ascii="Arial" w:hAnsi="Arial" w:cs="Arial"/>
          <w:sz w:val="16"/>
          <w:szCs w:val="16"/>
        </w:rPr>
        <w:t>.</w:t>
      </w:r>
    </w:p>
  </w:footnote>
  <w:footnote w:id="5">
    <w:p w:rsidR="00481F9B" w:rsidRPr="001C2CA6" w:rsidRDefault="00481F9B" w:rsidP="00481F9B">
      <w:pPr>
        <w:pStyle w:val="FootnoteText"/>
        <w:rPr>
          <w:rFonts w:ascii="Arial" w:hAnsi="Arial" w:cs="Arial"/>
          <w:sz w:val="16"/>
          <w:szCs w:val="16"/>
        </w:rPr>
      </w:pPr>
      <w:r w:rsidRPr="001C2CA6">
        <w:rPr>
          <w:rStyle w:val="FootnoteReference"/>
          <w:rFonts w:ascii="Arial" w:hAnsi="Arial" w:cs="Arial"/>
          <w:sz w:val="16"/>
          <w:szCs w:val="16"/>
        </w:rPr>
        <w:footnoteRef/>
      </w:r>
      <w:r w:rsidRPr="008A5648">
        <w:rPr>
          <w:rFonts w:ascii="Arial" w:hAnsi="Arial" w:cs="Arial"/>
          <w:i/>
          <w:sz w:val="16"/>
          <w:szCs w:val="16"/>
        </w:rPr>
        <w:t>Ibid</w:t>
      </w:r>
      <w:r w:rsidRPr="001C2CA6">
        <w:rPr>
          <w:rFonts w:ascii="Arial" w:hAnsi="Arial" w:cs="Arial"/>
          <w:sz w:val="16"/>
          <w:szCs w:val="16"/>
        </w:rPr>
        <w:t>.</w:t>
      </w:r>
    </w:p>
  </w:footnote>
  <w:footnote w:id="6">
    <w:p w:rsidR="00481F9B" w:rsidRPr="001C2CA6" w:rsidRDefault="00481F9B" w:rsidP="00481F9B">
      <w:pPr>
        <w:pStyle w:val="FootnoteText"/>
        <w:rPr>
          <w:rFonts w:ascii="Arial" w:hAnsi="Arial" w:cs="Arial"/>
          <w:sz w:val="16"/>
          <w:szCs w:val="16"/>
        </w:rPr>
      </w:pPr>
      <w:r w:rsidRPr="001C2CA6">
        <w:rPr>
          <w:rStyle w:val="FootnoteReference"/>
          <w:rFonts w:ascii="Arial" w:hAnsi="Arial" w:cs="Arial"/>
          <w:sz w:val="16"/>
          <w:szCs w:val="16"/>
        </w:rPr>
        <w:footnoteRef/>
      </w:r>
      <w:hyperlink r:id="rId4" w:history="1">
        <w:r w:rsidRPr="001C2CA6">
          <w:rPr>
            <w:rStyle w:val="Hyperlink"/>
            <w:rFonts w:ascii="Arial" w:hAnsi="Arial" w:cs="Arial"/>
            <w:sz w:val="16"/>
            <w:szCs w:val="16"/>
          </w:rPr>
          <w:t>Blagescu, M, de Las Casas, L &amp; Lloyd, R; Pathways to Accountability: the GAP Framework; 2005.</w:t>
        </w:r>
      </w:hyperlink>
    </w:p>
  </w:footnote>
  <w:footnote w:id="7">
    <w:p w:rsidR="00481F9B" w:rsidRPr="001C2CA6" w:rsidRDefault="00481F9B" w:rsidP="00481F9B">
      <w:pPr>
        <w:pStyle w:val="FootnoteText"/>
        <w:rPr>
          <w:rFonts w:ascii="Arial" w:hAnsi="Arial" w:cs="Arial"/>
          <w:sz w:val="16"/>
          <w:szCs w:val="16"/>
        </w:rPr>
      </w:pPr>
      <w:r w:rsidRPr="001C2CA6">
        <w:rPr>
          <w:rStyle w:val="FootnoteReference"/>
          <w:rFonts w:ascii="Arial" w:hAnsi="Arial" w:cs="Arial"/>
          <w:sz w:val="16"/>
          <w:szCs w:val="16"/>
        </w:rPr>
        <w:footnoteRef/>
      </w:r>
      <w:hyperlink r:id="rId5" w:history="1">
        <w:r w:rsidRPr="001C2CA6">
          <w:rPr>
            <w:rStyle w:val="Hyperlink"/>
            <w:rFonts w:ascii="Arial" w:hAnsi="Arial" w:cs="Arial"/>
            <w:sz w:val="16"/>
            <w:szCs w:val="16"/>
          </w:rPr>
          <w:t>Collaborative Learning Projects; Feedback Mechanisms in International Assistance Organizations; 2011</w:t>
        </w:r>
      </w:hyperlink>
      <w:r w:rsidRPr="001C2CA6">
        <w:rPr>
          <w:rFonts w:ascii="Arial" w:hAnsi="Arial" w:cs="Arial"/>
          <w:sz w:val="16"/>
          <w:szCs w:val="16"/>
        </w:rPr>
        <w:t>.</w:t>
      </w:r>
    </w:p>
  </w:footnote>
  <w:footnote w:id="8">
    <w:p w:rsidR="00481F9B" w:rsidRPr="006F34A4" w:rsidRDefault="00481F9B" w:rsidP="00481F9B">
      <w:pPr>
        <w:pStyle w:val="FootnoteText"/>
        <w:rPr>
          <w:rFonts w:ascii="Arial" w:hAnsi="Arial" w:cs="Arial"/>
          <w:sz w:val="16"/>
          <w:szCs w:val="16"/>
        </w:rPr>
      </w:pPr>
      <w:r w:rsidRPr="006F34A4">
        <w:rPr>
          <w:rStyle w:val="FootnoteReference"/>
          <w:rFonts w:ascii="Arial" w:hAnsi="Arial" w:cs="Arial"/>
          <w:sz w:val="16"/>
          <w:szCs w:val="16"/>
        </w:rPr>
        <w:footnoteRef/>
      </w:r>
      <w:r w:rsidRPr="006F34A4">
        <w:rPr>
          <w:rFonts w:ascii="Arial" w:hAnsi="Arial" w:cs="Arial"/>
          <w:sz w:val="16"/>
          <w:szCs w:val="16"/>
        </w:rPr>
        <w:t>Depending on the volume of feedback</w:t>
      </w:r>
      <w:r>
        <w:rPr>
          <w:rFonts w:ascii="Arial" w:hAnsi="Arial" w:cs="Arial"/>
          <w:sz w:val="16"/>
          <w:szCs w:val="16"/>
        </w:rPr>
        <w:t>,</w:t>
      </w:r>
      <w:r w:rsidRPr="006F34A4">
        <w:rPr>
          <w:rFonts w:ascii="Arial" w:hAnsi="Arial" w:cs="Arial"/>
          <w:sz w:val="16"/>
          <w:szCs w:val="16"/>
        </w:rPr>
        <w:t xml:space="preserve"> this role may be expected to take </w:t>
      </w:r>
      <w:r w:rsidR="003D79FB">
        <w:rPr>
          <w:rFonts w:ascii="Arial" w:hAnsi="Arial" w:cs="Arial"/>
          <w:sz w:val="16"/>
          <w:szCs w:val="16"/>
        </w:rPr>
        <w:t>two</w:t>
      </w:r>
      <w:r w:rsidRPr="006F34A4">
        <w:rPr>
          <w:rFonts w:ascii="Arial" w:hAnsi="Arial" w:cs="Arial"/>
          <w:sz w:val="16"/>
          <w:szCs w:val="16"/>
        </w:rPr>
        <w:t xml:space="preserve"> to </w:t>
      </w:r>
      <w:r w:rsidR="003D79FB">
        <w:rPr>
          <w:rFonts w:ascii="Arial" w:hAnsi="Arial" w:cs="Arial"/>
          <w:sz w:val="16"/>
          <w:szCs w:val="16"/>
        </w:rPr>
        <w:t>five</w:t>
      </w:r>
      <w:r w:rsidRPr="006F34A4">
        <w:rPr>
          <w:rFonts w:ascii="Arial" w:hAnsi="Arial" w:cs="Arial"/>
          <w:sz w:val="16"/>
          <w:szCs w:val="16"/>
        </w:rPr>
        <w:t xml:space="preserve"> hours per week.</w:t>
      </w:r>
    </w:p>
    <w:p w:rsidR="00481F9B" w:rsidRDefault="00481F9B" w:rsidP="00481F9B">
      <w:pPr>
        <w:pStyle w:val="FootnoteText"/>
      </w:pPr>
    </w:p>
  </w:footnote>
  <w:footnote w:id="9">
    <w:p w:rsidR="00481F9B" w:rsidRPr="00E76CB3" w:rsidRDefault="00481F9B" w:rsidP="00481F9B">
      <w:pPr>
        <w:pStyle w:val="FootnoteText"/>
        <w:rPr>
          <w:rFonts w:ascii="Arial" w:hAnsi="Arial" w:cs="Arial"/>
          <w:sz w:val="16"/>
          <w:szCs w:val="16"/>
        </w:rPr>
      </w:pPr>
      <w:r w:rsidRPr="00E76CB3">
        <w:rPr>
          <w:rStyle w:val="FootnoteReference"/>
          <w:rFonts w:ascii="Arial" w:hAnsi="Arial" w:cs="Arial"/>
          <w:sz w:val="16"/>
          <w:szCs w:val="16"/>
        </w:rPr>
        <w:footnoteRef/>
      </w:r>
      <w:r w:rsidRPr="00E76CB3">
        <w:rPr>
          <w:rFonts w:ascii="Arial" w:hAnsi="Arial" w:cs="Arial"/>
          <w:sz w:val="16"/>
          <w:szCs w:val="16"/>
        </w:rPr>
        <w:t>This sample can be used whole or</w:t>
      </w:r>
      <w:r>
        <w:rPr>
          <w:rFonts w:ascii="Arial" w:hAnsi="Arial" w:cs="Arial"/>
          <w:sz w:val="16"/>
          <w:szCs w:val="16"/>
        </w:rPr>
        <w:t xml:space="preserve"> can</w:t>
      </w:r>
      <w:r w:rsidRPr="00E76CB3">
        <w:rPr>
          <w:rFonts w:ascii="Arial" w:hAnsi="Arial" w:cs="Arial"/>
          <w:sz w:val="16"/>
          <w:szCs w:val="16"/>
        </w:rPr>
        <w:t xml:space="preserve"> be adapted to</w:t>
      </w:r>
      <w:r>
        <w:rPr>
          <w:rFonts w:ascii="Arial" w:hAnsi="Arial" w:cs="Arial"/>
          <w:sz w:val="16"/>
          <w:szCs w:val="16"/>
        </w:rPr>
        <w:t xml:space="preserve"> the</w:t>
      </w:r>
      <w:r w:rsidRPr="00E76CB3">
        <w:rPr>
          <w:rFonts w:ascii="Arial" w:hAnsi="Arial" w:cs="Arial"/>
          <w:sz w:val="16"/>
          <w:szCs w:val="16"/>
        </w:rPr>
        <w:t xml:space="preserve"> context. As written, it is intended to be the most simplistic way to meet all of the criteria within the above protocol.</w:t>
      </w:r>
    </w:p>
  </w:footnote>
  <w:footnote w:id="10">
    <w:p w:rsidR="00481F9B" w:rsidRPr="00E76CB3" w:rsidRDefault="00481F9B" w:rsidP="00481F9B">
      <w:pPr>
        <w:pStyle w:val="FootnoteText"/>
        <w:rPr>
          <w:rFonts w:ascii="Arial" w:hAnsi="Arial" w:cs="Arial"/>
          <w:sz w:val="16"/>
          <w:szCs w:val="16"/>
        </w:rPr>
      </w:pPr>
      <w:r w:rsidRPr="00E76CB3">
        <w:rPr>
          <w:rStyle w:val="FootnoteReference"/>
          <w:rFonts w:ascii="Arial" w:hAnsi="Arial" w:cs="Arial"/>
          <w:sz w:val="16"/>
          <w:szCs w:val="16"/>
        </w:rPr>
        <w:footnoteRef/>
      </w:r>
      <w:r w:rsidRPr="00E76CB3">
        <w:rPr>
          <w:rFonts w:ascii="Arial" w:hAnsi="Arial" w:cs="Arial"/>
          <w:sz w:val="16"/>
          <w:szCs w:val="16"/>
        </w:rPr>
        <w:t>The full toolkit is under development, and is expected to be available mid-201</w:t>
      </w:r>
      <w:r w:rsidR="008A5648">
        <w:rPr>
          <w:rFonts w:ascii="Arial" w:hAnsi="Arial" w:cs="Arial"/>
          <w:sz w:val="16"/>
          <w:szCs w:val="16"/>
        </w:rPr>
        <w:t>4</w:t>
      </w:r>
      <w:r w:rsidRPr="00E76CB3">
        <w:rPr>
          <w:rFonts w:ascii="Arial" w:hAnsi="Arial" w:cs="Arial"/>
          <w:sz w:val="16"/>
          <w:szCs w:val="16"/>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F9B" w:rsidRDefault="00406CB1">
    <w:pPr>
      <w:pStyle w:val="Header"/>
    </w:pPr>
    <w:r>
      <w:rPr>
        <w:noProof/>
      </w:rPr>
      <w:pict>
        <v:shapetype id="_x0000_t202" coordsize="21600,21600" o:spt="202" path="m,l,21600r21600,l21600,xe">
          <v:stroke joinstyle="miter"/>
          <v:path gradientshapeok="t" o:connecttype="rect"/>
        </v:shapetype>
        <v:shape id="_x0000_s2081" type="#_x0000_t202" style="position:absolute;margin-left:36pt;margin-top:36pt;width:540pt;height:23.05pt;z-index:-251649536;visibility:visible;mso-position-horizontal:absolute;mso-position-horizontal-relative:page;mso-position-vertical-relative:page" wrapcoords="-30 0 -30 20903 21600 20903 2160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" fillcolor="#fdc82f" stroked="f">
          <v:textbox style="mso-next-textbox:#_x0000_s2081" inset="18pt,5.76pt,18pt,0">
            <w:txbxContent>
              <w:p w:rsidR="00481F9B" w:rsidRPr="00336E96" w:rsidRDefault="00481F9B" w:rsidP="00E27BF7">
                <w:pPr>
                  <w:tabs>
                    <w:tab w:val="right" w:pos="10260"/>
                  </w:tabs>
                  <w:ind w:left="-180" w:right="-11"/>
                  <w:rPr>
                    <w:rFonts w:ascii="Arial Bold" w:hAnsi="Arial Bold"/>
                    <w:sz w:val="20"/>
                  </w:rPr>
                </w:pPr>
                <w:r>
                  <w:rPr>
                    <w:rFonts w:ascii="Arial" w:hAnsi="Arial"/>
                    <w:b/>
                    <w:sz w:val="20"/>
                  </w:rPr>
                  <w:t>EPRU Feedback Protocol</w:t>
                </w:r>
                <w:r w:rsidRPr="00336E96">
                  <w:rPr>
                    <w:rFonts w:ascii="Arial Bold" w:hAnsi="Arial Bold"/>
                    <w:sz w:val="20"/>
                  </w:rPr>
                  <w:t xml:space="preserve"> </w:t>
                </w:r>
                <w:r w:rsidRPr="00336E96">
                  <w:rPr>
                    <w:rFonts w:ascii="Arial" w:hAnsi="Arial"/>
                    <w:sz w:val="20"/>
                  </w:rPr>
                  <w:t>(Cont’d)</w:t>
                </w:r>
                <w:r w:rsidRPr="00336E96">
                  <w:rPr>
                    <w:rFonts w:ascii="Arial" w:hAnsi="Arial"/>
                    <w:sz w:val="20"/>
                  </w:rPr>
                  <w:tab/>
                </w:r>
                <w:r w:rsidRPr="00D20C0A">
                  <w:rPr>
                    <w:rFonts w:ascii="Arial" w:hAnsi="Arial"/>
                    <w:b/>
                    <w:sz w:val="20"/>
                  </w:rPr>
                  <w:fldChar w:fldCharType="begin"/>
                </w:r>
                <w:r w:rsidRPr="00D20C0A">
                  <w:rPr>
                    <w:rFonts w:ascii="Arial" w:hAnsi="Arial"/>
                    <w:b/>
                    <w:sz w:val="20"/>
                  </w:rPr>
                  <w:instrText xml:space="preserve"> PAGE </w:instrText>
                </w:r>
                <w:r w:rsidRPr="00D20C0A">
                  <w:rPr>
                    <w:rFonts w:ascii="Arial" w:hAnsi="Arial"/>
                    <w:b/>
                    <w:sz w:val="20"/>
                  </w:rPr>
                  <w:fldChar w:fldCharType="separate"/>
                </w:r>
                <w:r>
                  <w:rPr>
                    <w:rFonts w:ascii="Arial" w:hAnsi="Arial"/>
                    <w:b/>
                    <w:noProof/>
                    <w:sz w:val="20"/>
                  </w:rPr>
                  <w:t>2</w:t>
                </w:r>
                <w:r w:rsidRPr="00D20C0A">
                  <w:rPr>
                    <w:rFonts w:ascii="Arial" w:hAnsi="Arial"/>
                    <w:b/>
                    <w:sz w:val="20"/>
                  </w:rPr>
                  <w:fldChar w:fldCharType="end"/>
                </w:r>
              </w:p>
              <w:p w:rsidR="00481F9B" w:rsidRPr="004E0D7F" w:rsidRDefault="00481F9B" w:rsidP="00E27BF7">
                <w:pPr>
                  <w:rPr>
                    <w:rFonts w:ascii="Arial Bold" w:hAnsi="Arial Bold"/>
                  </w:rPr>
                </w:pPr>
              </w:p>
              <w:p w:rsidR="00481F9B" w:rsidRDefault="00481F9B" w:rsidP="00E27BF7"/>
            </w:txbxContent>
          </v:textbox>
          <w10:wrap type="tight"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F9B" w:rsidRDefault="00406CB1" w:rsidP="004855C3">
    <w:pPr>
      <w:pStyle w:val="IRCBodyText"/>
    </w:pPr>
    <w:r>
      <w:rPr>
        <w:noProof/>
      </w:rPr>
      <w:pict>
        <v:shapetype id="_x0000_t202" coordsize="21600,21600" o:spt="202" path="m,l,21600r21600,l21600,xe">
          <v:stroke joinstyle="miter"/>
          <v:path gradientshapeok="t" o:connecttype="rect"/>
        </v:shapetype>
        <v:shape id="_x0000_s2078" type="#_x0000_t202" style="position:absolute;margin-left:122.05pt;margin-top:75.6pt;width:446pt;height:1in;z-index:251663872;visibility:visible;mso-wrap-distance-left:0;mso-position-horizontal-relative:page;mso-position-vertical:absolute;mso-position-vertical-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" filled="f" stroked="f">
          <v:textbox style="mso-next-textbox:#_x0000_s2078" inset="0,0,0,0">
            <w:txbxContent>
              <w:p w:rsidR="00481F9B" w:rsidRPr="002B2980" w:rsidRDefault="00481F9B" w:rsidP="008A5648">
                <w:pPr>
                  <w:pStyle w:val="IRCHeadline"/>
                  <w:spacing w:line="480" w:lineRule="exact"/>
                  <w:rPr>
                    <w:sz w:val="44"/>
                    <w:szCs w:val="44"/>
                  </w:rPr>
                </w:pPr>
                <w:r w:rsidRPr="002B2980">
                  <w:rPr>
                    <w:sz w:val="44"/>
                    <w:szCs w:val="44"/>
                  </w:rPr>
                  <w:t xml:space="preserve">Emergency Preparedness &amp; Response Unit </w:t>
                </w:r>
                <w:r w:rsidRPr="002B2980">
                  <w:rPr>
                    <w:sz w:val="44"/>
                    <w:szCs w:val="44"/>
                  </w:rPr>
                  <w:br/>
                </w:r>
                <w:r>
                  <w:rPr>
                    <w:sz w:val="44"/>
                    <w:szCs w:val="44"/>
                  </w:rPr>
                  <w:t>Feedback Protocol</w:t>
                </w:r>
                <w:r w:rsidR="009D71A2">
                  <w:rPr>
                    <w:sz w:val="44"/>
                    <w:szCs w:val="44"/>
                  </w:rPr>
                  <w:t xml:space="preserve"> (Sample)</w:t>
                </w:r>
              </w:p>
              <w:p w:rsidR="00481F9B" w:rsidRPr="002B2980" w:rsidRDefault="00481F9B" w:rsidP="008A5648">
                <w:pPr>
                  <w:pStyle w:val="IRCHeadline"/>
                  <w:spacing w:line="480" w:lineRule="exact"/>
                  <w:rPr>
                    <w:b w:val="0"/>
                    <w:sz w:val="40"/>
                    <w:szCs w:val="40"/>
                  </w:rPr>
                </w:pPr>
                <w:r>
                  <w:rPr>
                    <w:b w:val="0"/>
                    <w:sz w:val="40"/>
                    <w:szCs w:val="40"/>
                  </w:rPr>
                  <w:t>January 2013</w:t>
                </w:r>
              </w:p>
              <w:p w:rsidR="00481F9B" w:rsidRPr="002B2980" w:rsidRDefault="00481F9B" w:rsidP="004855C3">
                <w:pPr>
                  <w:pStyle w:val="IRCHeadline"/>
                  <w:rPr>
                    <w:sz w:val="44"/>
                    <w:szCs w:val="44"/>
                  </w:rPr>
                </w:pPr>
              </w:p>
            </w:txbxContent>
          </v:textbox>
          <w10:wrap type="square" anchorx="page" anchory="page"/>
        </v:shape>
      </w:pict>
    </w:r>
    <w:r w:rsidR="00481F9B">
      <w:rPr>
        <w:noProof/>
      </w:rPr>
      <w:drawing>
        <wp:anchor distT="0" distB="0" distL="114300" distR="114300" simplePos="0" relativeHeight="251662848" behindDoc="1" locked="0" layoutInCell="1" allowOverlap="1" wp14:anchorId="5501AFC3" wp14:editId="3CC0B351">
          <wp:simplePos x="0" y="0"/>
          <wp:positionH relativeFrom="page">
            <wp:posOffset>457200</wp:posOffset>
          </wp:positionH>
          <wp:positionV relativeFrom="page">
            <wp:posOffset>457200</wp:posOffset>
          </wp:positionV>
          <wp:extent cx="6858000" cy="1485900"/>
          <wp:effectExtent l="19050" t="0" r="0" b="0"/>
          <wp:wrapNone/>
          <wp:docPr id="2" name="Picture 2" descr="IRC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RC_Header"/>
                  <pic:cNvPicPr>
                    <a:picLocks noChangeAspect="1" noChangeArrowheads="1"/>
                  </pic:cNvPicPr>
                </pic:nvPicPr>
                <pic:blipFill>
                  <a:blip r:embed="rId1"/>
                  <a:srcRect/>
                  <a:stretch>
                    <a:fillRect/>
                  </a:stretch>
                </pic:blipFill>
                <pic:spPr bwMode="auto">
                  <a:xfrm>
                    <a:off x="0" y="0"/>
                    <a:ext cx="6858000" cy="1485900"/>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30D6" w:rsidRDefault="00406CB1">
    <w:pPr>
      <w:pStyle w:val="Header"/>
    </w:pPr>
    <w:r>
      <w:rPr>
        <w:noProof/>
      </w:rPr>
      <w:pict>
        <v:shapetype id="_x0000_t202" coordsize="21600,21600" o:spt="202" path="m,l,21600r21600,l21600,xe">
          <v:stroke joinstyle="miter"/>
          <v:path gradientshapeok="t" o:connecttype="rect"/>
        </v:shapetype>
        <v:shape id="Text Box 5" o:spid="_x0000_s2077" type="#_x0000_t202" style="position:absolute;margin-left:36pt;margin-top:36pt;width:540pt;height:23.05pt;z-index:-251655680;visibility:visible;mso-position-horizontal:absolute;mso-position-horizontal-relative:page;mso-position-vertical-relative:page" wrapcoords="-30 0 -30 20903 21600 20903 21600 0 -30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" fillcolor="#fdc82f" stroked="f">
          <v:textbox style="mso-next-textbox:#Text Box 5" inset="18pt,5.76pt,18pt,0">
            <w:txbxContent>
              <w:p w:rsidR="00E27BF7" w:rsidRPr="00336E96" w:rsidRDefault="00E27BF7" w:rsidP="00E27BF7">
                <w:pPr>
                  <w:tabs>
                    <w:tab w:val="right" w:pos="10260"/>
                  </w:tabs>
                  <w:ind w:left="-180" w:right="-11"/>
                  <w:rPr>
                    <w:rFonts w:ascii="Arial Bold" w:hAnsi="Arial Bold"/>
                    <w:sz w:val="20"/>
                  </w:rPr>
                </w:pPr>
                <w:r>
                  <w:rPr>
                    <w:rFonts w:ascii="Arial" w:hAnsi="Arial"/>
                    <w:b/>
                    <w:sz w:val="20"/>
                  </w:rPr>
                  <w:t xml:space="preserve">EPRU </w:t>
                </w:r>
                <w:r w:rsidR="00F44084">
                  <w:rPr>
                    <w:rFonts w:ascii="Arial" w:hAnsi="Arial"/>
                    <w:b/>
                    <w:sz w:val="20"/>
                  </w:rPr>
                  <w:t>Feedback</w:t>
                </w:r>
                <w:r>
                  <w:rPr>
                    <w:rFonts w:ascii="Arial" w:hAnsi="Arial"/>
                    <w:b/>
                    <w:sz w:val="20"/>
                  </w:rPr>
                  <w:t xml:space="preserve"> Protocol</w:t>
                </w:r>
                <w:r w:rsidRPr="00336E96">
                  <w:rPr>
                    <w:rFonts w:ascii="Arial Bold" w:hAnsi="Arial Bold"/>
                    <w:sz w:val="20"/>
                  </w:rPr>
                  <w:t xml:space="preserve"> </w:t>
                </w:r>
                <w:r w:rsidRPr="00336E96">
                  <w:rPr>
                    <w:rFonts w:ascii="Arial" w:hAnsi="Arial"/>
                    <w:sz w:val="20"/>
                  </w:rPr>
                  <w:t>(Cont’d)</w:t>
                </w:r>
                <w:r w:rsidRPr="00336E96">
                  <w:rPr>
                    <w:rFonts w:ascii="Arial" w:hAnsi="Arial"/>
                    <w:sz w:val="20"/>
                  </w:rPr>
                  <w:tab/>
                </w:r>
                <w:r w:rsidRPr="00D20C0A">
                  <w:rPr>
                    <w:rFonts w:ascii="Arial" w:hAnsi="Arial"/>
                    <w:b/>
                    <w:sz w:val="20"/>
                  </w:rPr>
                  <w:fldChar w:fldCharType="begin"/>
                </w:r>
                <w:r w:rsidRPr="00D20C0A">
                  <w:rPr>
                    <w:rFonts w:ascii="Arial" w:hAnsi="Arial"/>
                    <w:b/>
                    <w:sz w:val="20"/>
                  </w:rPr>
                  <w:instrText xml:space="preserve"> PAGE </w:instrText>
                </w:r>
                <w:r w:rsidRPr="00D20C0A">
                  <w:rPr>
                    <w:rFonts w:ascii="Arial" w:hAnsi="Arial"/>
                    <w:b/>
                    <w:sz w:val="20"/>
                  </w:rPr>
                  <w:fldChar w:fldCharType="separate"/>
                </w:r>
                <w:r w:rsidR="009D71A2">
                  <w:rPr>
                    <w:rFonts w:ascii="Arial" w:hAnsi="Arial"/>
                    <w:b/>
                    <w:noProof/>
                    <w:sz w:val="20"/>
                  </w:rPr>
                  <w:t>4</w:t>
                </w:r>
                <w:r w:rsidRPr="00D20C0A">
                  <w:rPr>
                    <w:rFonts w:ascii="Arial" w:hAnsi="Arial"/>
                    <w:b/>
                    <w:sz w:val="20"/>
                  </w:rPr>
                  <w:fldChar w:fldCharType="end"/>
                </w:r>
              </w:p>
              <w:p w:rsidR="00E27BF7" w:rsidRPr="004E0D7F" w:rsidRDefault="00E27BF7" w:rsidP="00E27BF7">
                <w:pPr>
                  <w:rPr>
                    <w:rFonts w:ascii="Arial Bold" w:hAnsi="Arial Bold"/>
                  </w:rPr>
                </w:pPr>
              </w:p>
              <w:p w:rsidR="00E27BF7" w:rsidRDefault="00E27BF7" w:rsidP="00E27BF7"/>
            </w:txbxContent>
          </v:textbox>
          <w10:wrap type="tight"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55C3" w:rsidRDefault="00406CB1" w:rsidP="004855C3">
    <w:pPr>
      <w:pStyle w:val="IRCBodyText"/>
    </w:pPr>
    <w:r>
      <w:rPr>
        <w:noProof/>
      </w:rPr>
      <w:pict>
        <v:shapetype id="_x0000_t202" coordsize="21600,21600" o:spt="202" path="m,l,21600r21600,l21600,xe">
          <v:stroke joinstyle="miter"/>
          <v:path gradientshapeok="t" o:connecttype="rect"/>
        </v:shapetype>
        <v:shape id="Text Box 14" o:spid="_x0000_s2050" type="#_x0000_t202" style="position:absolute;margin-left:122.05pt;margin-top:81.45pt;width:446pt;height:64.45pt;z-index:251657728;visibility:visible;mso-wrap-distance-left:0;mso-position-horizontal-relative:page;mso-position-vertical-relative:pag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" filled="f" stroked="f">
          <v:textbox style="mso-next-textbox:#Text Box 14" inset="0,0,0,0">
            <w:txbxContent>
              <w:p w:rsidR="004855C3" w:rsidRPr="002B2980" w:rsidRDefault="002226F0" w:rsidP="004855C3">
                <w:pPr>
                  <w:pStyle w:val="IRCHeadline"/>
                  <w:rPr>
                    <w:sz w:val="44"/>
                    <w:szCs w:val="44"/>
                  </w:rPr>
                </w:pPr>
                <w:r w:rsidRPr="002B2980">
                  <w:rPr>
                    <w:sz w:val="44"/>
                    <w:szCs w:val="44"/>
                  </w:rPr>
                  <w:t>Emergency Preparedness &amp; Response</w:t>
                </w:r>
                <w:r w:rsidR="002B2980" w:rsidRPr="002B2980">
                  <w:rPr>
                    <w:sz w:val="44"/>
                    <w:szCs w:val="44"/>
                  </w:rPr>
                  <w:t xml:space="preserve"> Unit</w:t>
                </w:r>
                <w:r w:rsidR="0054065C" w:rsidRPr="002B2980">
                  <w:rPr>
                    <w:sz w:val="44"/>
                    <w:szCs w:val="44"/>
                  </w:rPr>
                  <w:t xml:space="preserve"> </w:t>
                </w:r>
                <w:r w:rsidR="0054065C" w:rsidRPr="002B2980">
                  <w:rPr>
                    <w:sz w:val="44"/>
                    <w:szCs w:val="44"/>
                  </w:rPr>
                  <w:br/>
                </w:r>
                <w:r w:rsidR="00E27BF7">
                  <w:rPr>
                    <w:sz w:val="44"/>
                    <w:szCs w:val="44"/>
                  </w:rPr>
                  <w:t>Name of Protocol</w:t>
                </w:r>
              </w:p>
              <w:p w:rsidR="00A97CCC" w:rsidRPr="002B2980" w:rsidRDefault="00E27BF7" w:rsidP="00A97CCC">
                <w:pPr>
                  <w:pStyle w:val="IRCHeadline"/>
                  <w:rPr>
                    <w:b w:val="0"/>
                    <w:sz w:val="40"/>
                    <w:szCs w:val="40"/>
                  </w:rPr>
                </w:pPr>
                <w:r>
                  <w:rPr>
                    <w:b w:val="0"/>
                    <w:sz w:val="40"/>
                    <w:szCs w:val="40"/>
                  </w:rPr>
                  <w:t>January 2014</w:t>
                </w:r>
              </w:p>
              <w:p w:rsidR="00A97CCC" w:rsidRPr="002B2980" w:rsidRDefault="00A97CCC" w:rsidP="004855C3">
                <w:pPr>
                  <w:pStyle w:val="IRCHeadline"/>
                  <w:rPr>
                    <w:sz w:val="44"/>
                    <w:szCs w:val="44"/>
                  </w:rPr>
                </w:pPr>
              </w:p>
            </w:txbxContent>
          </v:textbox>
          <w10:wrap type="square" anchorx="page" anchory="page"/>
        </v:shape>
      </w:pict>
    </w:r>
    <w:r w:rsidR="00382156">
      <w:rPr>
        <w:noProof/>
      </w:rPr>
      <w:drawing>
        <wp:anchor distT="0" distB="0" distL="114300" distR="114300" simplePos="0" relativeHeight="251656704" behindDoc="1" locked="0" layoutInCell="1" allowOverlap="1" wp14:anchorId="33E126CF" wp14:editId="5F9A9E0D">
          <wp:simplePos x="0" y="0"/>
          <wp:positionH relativeFrom="page">
            <wp:posOffset>457200</wp:posOffset>
          </wp:positionH>
          <wp:positionV relativeFrom="page">
            <wp:posOffset>457200</wp:posOffset>
          </wp:positionV>
          <wp:extent cx="6858000" cy="1485900"/>
          <wp:effectExtent l="19050" t="0" r="0" b="0"/>
          <wp:wrapNone/>
          <wp:docPr id="1" name="Picture 1" descr="IRC_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RC_Header"/>
                  <pic:cNvPicPr>
                    <a:picLocks noChangeAspect="1" noChangeArrowheads="1"/>
                  </pic:cNvPicPr>
                </pic:nvPicPr>
                <pic:blipFill>
                  <a:blip r:embed="rId1"/>
                  <a:srcRect/>
                  <a:stretch>
                    <a:fillRect/>
                  </a:stretch>
                </pic:blipFill>
                <pic:spPr bwMode="auto">
                  <a:xfrm>
                    <a:off x="0" y="0"/>
                    <a:ext cx="6858000" cy="148590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A232E2AC"/>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92E3584"/>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1D03C86"/>
    <w:lvl w:ilvl="0">
      <w:start w:val="1"/>
      <w:numFmt w:val="bullet"/>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88B05BE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69BE3A1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9680150"/>
    <w:multiLevelType w:val="multilevel"/>
    <w:tmpl w:val="A05A313A"/>
    <w:lvl w:ilvl="0">
      <w:start w:val="1"/>
      <w:numFmt w:val="bullet"/>
      <w:lvlText w:val=""/>
      <w:lvlJc w:val="left"/>
      <w:pPr>
        <w:ind w:left="360" w:hanging="288"/>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BAF64F0"/>
    <w:multiLevelType w:val="hybridMultilevel"/>
    <w:tmpl w:val="4CFE07A0"/>
    <w:lvl w:ilvl="0" w:tplc="AC7ED3DE">
      <w:start w:val="1"/>
      <w:numFmt w:val="bullet"/>
      <w:lvlText w:val="›"/>
      <w:lvlJc w:val="left"/>
      <w:pPr>
        <w:ind w:left="720" w:hanging="360"/>
      </w:pPr>
      <w:rPr>
        <w:rFonts w:ascii="Arial Bold" w:hAnsi="Arial Bold" w:hint="default"/>
        <w:b/>
        <w:i w:val="0"/>
        <w:color w:val="FFC000"/>
        <w:sz w:val="3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6A1DAA"/>
    <w:multiLevelType w:val="hybridMultilevel"/>
    <w:tmpl w:val="6D1668FE"/>
    <w:lvl w:ilvl="0" w:tplc="AC7ED3DE">
      <w:start w:val="1"/>
      <w:numFmt w:val="bullet"/>
      <w:lvlText w:val="›"/>
      <w:lvlJc w:val="left"/>
      <w:pPr>
        <w:ind w:left="720" w:hanging="360"/>
      </w:pPr>
      <w:rPr>
        <w:rFonts w:ascii="Arial Bold" w:hAnsi="Arial Bold" w:hint="default"/>
        <w:b/>
        <w:i w:val="0"/>
        <w:color w:val="FFC000"/>
        <w:sz w:val="3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0273DA"/>
    <w:multiLevelType w:val="hybridMultilevel"/>
    <w:tmpl w:val="DBA4AC66"/>
    <w:lvl w:ilvl="0" w:tplc="FAFACE60">
      <w:start w:val="1"/>
      <w:numFmt w:val="bullet"/>
      <w:pStyle w:val="IRCBulletedBodyText"/>
      <w:lvlText w:val=""/>
      <w:lvlJc w:val="left"/>
      <w:pPr>
        <w:ind w:left="288" w:hanging="288"/>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8640CF"/>
    <w:multiLevelType w:val="hybridMultilevel"/>
    <w:tmpl w:val="1D743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7625FE"/>
    <w:multiLevelType w:val="hybridMultilevel"/>
    <w:tmpl w:val="AB38EE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690682"/>
    <w:multiLevelType w:val="hybridMultilevel"/>
    <w:tmpl w:val="C5106DA6"/>
    <w:lvl w:ilvl="0" w:tplc="0409000F">
      <w:start w:val="1"/>
      <w:numFmt w:val="decimal"/>
      <w:lvlText w:val="%1."/>
      <w:lvlJc w:val="left"/>
      <w:pPr>
        <w:ind w:left="288" w:hanging="288"/>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8"/>
  </w:num>
  <w:num w:numId="7">
    <w:abstractNumId w:val="5"/>
  </w:num>
  <w:num w:numId="8">
    <w:abstractNumId w:val="9"/>
  </w:num>
  <w:num w:numId="9">
    <w:abstractNumId w:val="6"/>
  </w:num>
  <w:num w:numId="10">
    <w:abstractNumId w:val="7"/>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SortMethod w:val="0000"/>
  <w:defaultTabStop w:val="720"/>
  <w:drawingGridHorizontalSpacing w:val="360"/>
  <w:drawingGridVerticalSpacing w:val="360"/>
  <w:displayHorizontalDrawingGridEvery w:val="0"/>
  <w:displayVerticalDrawingGridEvery w:val="0"/>
  <w:characterSpacingControl w:val="doNotCompress"/>
  <w:hdrShapeDefaults>
    <o:shapedefaults v:ext="edit" spidmax="2082" style="mso-position-horizontal-relative:page;mso-position-vertical-relative:page" fillcolor="none [1612]" stroke="f" strokecolor="none [1612]">
      <v:fill color="none [1612]"/>
      <v:stroke color="none [1612]" weight="2pt" on="f"/>
      <v:textbox inset="0,0,0,0"/>
      <o:colormru v:ext="edit" colors="#fdc82f"/>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E0D7F"/>
    <w:rsid w:val="00024414"/>
    <w:rsid w:val="00085FFB"/>
    <w:rsid w:val="000A51CC"/>
    <w:rsid w:val="000C44BE"/>
    <w:rsid w:val="000C7EB8"/>
    <w:rsid w:val="000F261B"/>
    <w:rsid w:val="0019382C"/>
    <w:rsid w:val="001C2CA6"/>
    <w:rsid w:val="001F223F"/>
    <w:rsid w:val="002226F0"/>
    <w:rsid w:val="0029190F"/>
    <w:rsid w:val="002B2980"/>
    <w:rsid w:val="002C3849"/>
    <w:rsid w:val="0036731C"/>
    <w:rsid w:val="00382156"/>
    <w:rsid w:val="003D79FB"/>
    <w:rsid w:val="00406CB1"/>
    <w:rsid w:val="00412F94"/>
    <w:rsid w:val="00436944"/>
    <w:rsid w:val="00481F9B"/>
    <w:rsid w:val="004855C3"/>
    <w:rsid w:val="004A2112"/>
    <w:rsid w:val="004E0D7F"/>
    <w:rsid w:val="004F0452"/>
    <w:rsid w:val="004F7280"/>
    <w:rsid w:val="005175F1"/>
    <w:rsid w:val="00524A67"/>
    <w:rsid w:val="00525D40"/>
    <w:rsid w:val="0054065C"/>
    <w:rsid w:val="00580378"/>
    <w:rsid w:val="005B2E2A"/>
    <w:rsid w:val="006567E7"/>
    <w:rsid w:val="00663A61"/>
    <w:rsid w:val="00670CA0"/>
    <w:rsid w:val="0069057A"/>
    <w:rsid w:val="00690625"/>
    <w:rsid w:val="006A5B42"/>
    <w:rsid w:val="006B4BC3"/>
    <w:rsid w:val="006C749C"/>
    <w:rsid w:val="006D028A"/>
    <w:rsid w:val="007D259A"/>
    <w:rsid w:val="007D3EB8"/>
    <w:rsid w:val="00830F04"/>
    <w:rsid w:val="00853C36"/>
    <w:rsid w:val="00865699"/>
    <w:rsid w:val="008978BB"/>
    <w:rsid w:val="008A5648"/>
    <w:rsid w:val="00925D55"/>
    <w:rsid w:val="009D71A2"/>
    <w:rsid w:val="00A97CCC"/>
    <w:rsid w:val="00B47AC5"/>
    <w:rsid w:val="00B57A82"/>
    <w:rsid w:val="00B97B40"/>
    <w:rsid w:val="00BC545C"/>
    <w:rsid w:val="00BF04B5"/>
    <w:rsid w:val="00C5079F"/>
    <w:rsid w:val="00D30413"/>
    <w:rsid w:val="00D56A97"/>
    <w:rsid w:val="00DB0B59"/>
    <w:rsid w:val="00DB4F39"/>
    <w:rsid w:val="00DC605F"/>
    <w:rsid w:val="00DD30D6"/>
    <w:rsid w:val="00E27BF7"/>
    <w:rsid w:val="00E731B6"/>
    <w:rsid w:val="00E83BEE"/>
    <w:rsid w:val="00EB4E82"/>
    <w:rsid w:val="00EB7736"/>
    <w:rsid w:val="00F44084"/>
    <w:rsid w:val="00F44FE2"/>
    <w:rsid w:val="00FE068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82" style="mso-position-horizontal-relative:page;mso-position-vertical-relative:page" fillcolor="none [1612]" stroke="f" strokecolor="none [1612]">
      <v:fill color="none [1612]"/>
      <v:stroke color="none [1612]" weight="2pt" on="f"/>
      <v:textbox inset="0,0,0,0"/>
      <o:colormru v:ext="edit" colors="#fdc82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Cambria" w:hAnsi="Cambria" w:cs="Times New Roman"/>
        <w:lang w:val="en-US" w:eastAsia="en-US" w:bidi="my-MM"/>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qFormat="1"/>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5BE4"/>
    <w:rPr>
      <w:sz w:val="24"/>
      <w:szCs w:val="24"/>
      <w:lang w:bidi="ar-SA"/>
    </w:rPr>
  </w:style>
  <w:style w:type="paragraph" w:styleId="Heading1">
    <w:name w:val="heading 1"/>
    <w:basedOn w:val="Normal"/>
    <w:next w:val="Normal"/>
    <w:link w:val="Heading1Char"/>
    <w:qFormat/>
    <w:rsid w:val="00B64875"/>
    <w:pPr>
      <w:keepNext/>
      <w:spacing w:before="240" w:after="60"/>
      <w:outlineLvl w:val="0"/>
    </w:pPr>
    <w:rPr>
      <w:rFonts w:ascii="Calibri" w:eastAsia="Times New Roman" w:hAnsi="Calibri"/>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64875"/>
    <w:rPr>
      <w:rFonts w:ascii="Calibri" w:eastAsia="Times New Roman" w:hAnsi="Calibri" w:cs="Times New Roman"/>
      <w:b/>
      <w:bCs/>
      <w:kern w:val="32"/>
      <w:sz w:val="32"/>
      <w:szCs w:val="32"/>
    </w:rPr>
  </w:style>
  <w:style w:type="paragraph" w:styleId="Header">
    <w:name w:val="header"/>
    <w:basedOn w:val="Normal"/>
    <w:link w:val="HeaderChar"/>
    <w:rsid w:val="00D20C0A"/>
    <w:pPr>
      <w:tabs>
        <w:tab w:val="center" w:pos="4320"/>
        <w:tab w:val="right" w:pos="8640"/>
      </w:tabs>
    </w:pPr>
  </w:style>
  <w:style w:type="character" w:customStyle="1" w:styleId="HeaderChar">
    <w:name w:val="Header Char"/>
    <w:link w:val="Header"/>
    <w:rsid w:val="00D20C0A"/>
    <w:rPr>
      <w:sz w:val="24"/>
      <w:szCs w:val="24"/>
    </w:rPr>
  </w:style>
  <w:style w:type="paragraph" w:styleId="Footer">
    <w:name w:val="footer"/>
    <w:basedOn w:val="Normal"/>
    <w:link w:val="FooterChar"/>
    <w:uiPriority w:val="99"/>
    <w:unhideWhenUsed/>
    <w:rsid w:val="004E0D7F"/>
    <w:pPr>
      <w:tabs>
        <w:tab w:val="center" w:pos="4320"/>
        <w:tab w:val="right" w:pos="8640"/>
      </w:tabs>
    </w:pPr>
  </w:style>
  <w:style w:type="character" w:customStyle="1" w:styleId="FooterChar">
    <w:name w:val="Footer Char"/>
    <w:basedOn w:val="DefaultParagraphFont"/>
    <w:link w:val="Footer"/>
    <w:uiPriority w:val="99"/>
    <w:rsid w:val="004E0D7F"/>
  </w:style>
  <w:style w:type="paragraph" w:customStyle="1" w:styleId="IRCHeadline">
    <w:name w:val="IRC_Headline"/>
    <w:basedOn w:val="Normal"/>
    <w:qFormat/>
    <w:rsid w:val="00855EBE"/>
    <w:pPr>
      <w:spacing w:line="440" w:lineRule="exact"/>
    </w:pPr>
    <w:rPr>
      <w:rFonts w:ascii="Arial" w:hAnsi="Arial"/>
      <w:b/>
      <w:spacing w:val="-20"/>
      <w:sz w:val="48"/>
    </w:rPr>
  </w:style>
  <w:style w:type="paragraph" w:customStyle="1" w:styleId="IRCBodyText">
    <w:name w:val="IRC_BodyText"/>
    <w:basedOn w:val="Normal"/>
    <w:qFormat/>
    <w:rsid w:val="00D05D49"/>
    <w:pPr>
      <w:spacing w:after="120" w:line="260" w:lineRule="exact"/>
    </w:pPr>
    <w:rPr>
      <w:rFonts w:ascii="Arial" w:hAnsi="Arial"/>
      <w:sz w:val="19"/>
    </w:rPr>
  </w:style>
  <w:style w:type="paragraph" w:customStyle="1" w:styleId="IRCSub">
    <w:name w:val="IRC_Sub"/>
    <w:basedOn w:val="IRCBodyText"/>
    <w:qFormat/>
    <w:rsid w:val="00855EBE"/>
    <w:pPr>
      <w:spacing w:after="0"/>
    </w:pPr>
    <w:rPr>
      <w:b/>
      <w:sz w:val="20"/>
    </w:rPr>
  </w:style>
  <w:style w:type="paragraph" w:customStyle="1" w:styleId="IRCIntroText">
    <w:name w:val="IRC_IntroText"/>
    <w:basedOn w:val="IRCBodyText"/>
    <w:qFormat/>
    <w:rsid w:val="00542C33"/>
    <w:pPr>
      <w:spacing w:line="360" w:lineRule="exact"/>
    </w:pPr>
    <w:rPr>
      <w:sz w:val="28"/>
    </w:rPr>
  </w:style>
  <w:style w:type="paragraph" w:customStyle="1" w:styleId="IRCPullQuote">
    <w:name w:val="IRC_PullQuote"/>
    <w:basedOn w:val="Normal"/>
    <w:qFormat/>
    <w:rsid w:val="00542C33"/>
    <w:pPr>
      <w:spacing w:after="120" w:line="360" w:lineRule="exact"/>
    </w:pPr>
    <w:rPr>
      <w:rFonts w:ascii="Arial" w:hAnsi="Arial"/>
      <w:sz w:val="28"/>
    </w:rPr>
  </w:style>
  <w:style w:type="paragraph" w:customStyle="1" w:styleId="IRCBulletedBodyText">
    <w:name w:val="IRC_Bulleted Body Text"/>
    <w:basedOn w:val="IRCBodyText"/>
    <w:qFormat/>
    <w:rsid w:val="00C20AED"/>
    <w:pPr>
      <w:numPr>
        <w:numId w:val="6"/>
      </w:numPr>
    </w:pPr>
  </w:style>
  <w:style w:type="character" w:styleId="Hyperlink">
    <w:name w:val="Hyperlink"/>
    <w:rsid w:val="00481F9B"/>
    <w:rPr>
      <w:color w:val="0000FF"/>
      <w:u w:val="single"/>
    </w:rPr>
  </w:style>
  <w:style w:type="paragraph" w:styleId="FootnoteText">
    <w:name w:val="footnote text"/>
    <w:basedOn w:val="Normal"/>
    <w:link w:val="FootnoteTextChar"/>
    <w:uiPriority w:val="99"/>
    <w:rsid w:val="00481F9B"/>
  </w:style>
  <w:style w:type="character" w:customStyle="1" w:styleId="FootnoteTextChar">
    <w:name w:val="Footnote Text Char"/>
    <w:basedOn w:val="DefaultParagraphFont"/>
    <w:link w:val="FootnoteText"/>
    <w:uiPriority w:val="99"/>
    <w:rsid w:val="00481F9B"/>
    <w:rPr>
      <w:sz w:val="24"/>
      <w:szCs w:val="24"/>
      <w:lang w:bidi="ar-SA"/>
    </w:rPr>
  </w:style>
  <w:style w:type="character" w:styleId="FootnoteReference">
    <w:name w:val="footnote reference"/>
    <w:uiPriority w:val="99"/>
    <w:rsid w:val="00481F9B"/>
    <w:rPr>
      <w:vertAlign w:val="superscript"/>
    </w:rPr>
  </w:style>
  <w:style w:type="paragraph" w:styleId="ListParagraph">
    <w:name w:val="List Paragraph"/>
    <w:basedOn w:val="Normal"/>
    <w:link w:val="ListParagraphChar"/>
    <w:uiPriority w:val="34"/>
    <w:qFormat/>
    <w:rsid w:val="00481F9B"/>
    <w:pPr>
      <w:ind w:left="720"/>
      <w:contextualSpacing/>
    </w:pPr>
  </w:style>
  <w:style w:type="table" w:styleId="TableGrid">
    <w:name w:val="Table Grid"/>
    <w:basedOn w:val="TableNormal"/>
    <w:uiPriority w:val="59"/>
    <w:rsid w:val="00481F9B"/>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uiPriority w:val="99"/>
    <w:rsid w:val="00481F9B"/>
    <w:rPr>
      <w:rFonts w:ascii="Akzidenz-Grotesk BQ Light" w:hAnsi="Akzidenz-Grotesk BQ Light" w:cs="Akzidenz-Grotesk BQ Light"/>
      <w:color w:val="000000"/>
      <w:sz w:val="22"/>
      <w:szCs w:val="22"/>
    </w:rPr>
  </w:style>
  <w:style w:type="paragraph" w:customStyle="1" w:styleId="BasicParagraph">
    <w:name w:val="[Basic Paragraph]"/>
    <w:basedOn w:val="Normal"/>
    <w:uiPriority w:val="99"/>
    <w:rsid w:val="00481F9B"/>
    <w:pPr>
      <w:autoSpaceDE w:val="0"/>
      <w:autoSpaceDN w:val="0"/>
      <w:adjustRightInd w:val="0"/>
      <w:spacing w:line="288" w:lineRule="auto"/>
      <w:textAlignment w:val="center"/>
    </w:pPr>
    <w:rPr>
      <w:rFonts w:ascii="Minion Pro" w:hAnsi="Minion Pro" w:cs="Minion Pro"/>
      <w:color w:val="000000"/>
    </w:rPr>
  </w:style>
  <w:style w:type="character" w:customStyle="1" w:styleId="ListParagraphChar">
    <w:name w:val="List Paragraph Char"/>
    <w:basedOn w:val="DefaultParagraphFont"/>
    <w:link w:val="ListParagraph"/>
    <w:uiPriority w:val="34"/>
    <w:rsid w:val="00481F9B"/>
    <w:rPr>
      <w:sz w:val="24"/>
      <w:szCs w:val="24"/>
      <w:lang w:bidi="ar-SA"/>
    </w:rPr>
  </w:style>
  <w:style w:type="paragraph" w:styleId="BalloonText">
    <w:name w:val="Balloon Text"/>
    <w:basedOn w:val="Normal"/>
    <w:link w:val="BalloonTextChar"/>
    <w:rsid w:val="00481F9B"/>
    <w:rPr>
      <w:rFonts w:ascii="Tahoma" w:hAnsi="Tahoma" w:cs="Tahoma"/>
      <w:sz w:val="16"/>
      <w:szCs w:val="16"/>
    </w:rPr>
  </w:style>
  <w:style w:type="character" w:customStyle="1" w:styleId="BalloonTextChar">
    <w:name w:val="Balloon Text Char"/>
    <w:basedOn w:val="DefaultParagraphFont"/>
    <w:link w:val="BalloonText"/>
    <w:rsid w:val="00481F9B"/>
    <w:rPr>
      <w:rFonts w:ascii="Tahoma" w:hAnsi="Tahoma" w:cs="Tahoma"/>
      <w:sz w:val="16"/>
      <w:szCs w:val="16"/>
      <w:lang w:bidi="ar-SA"/>
    </w:rPr>
  </w:style>
  <w:style w:type="paragraph" w:styleId="Revision">
    <w:name w:val="Revision"/>
    <w:hidden/>
    <w:rsid w:val="008A5648"/>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diagramLayout" Target="diagrams/layout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diagramData" Target="diagrams/data1.xml"/><Relationship Id="rId17" Type="http://schemas.openxmlformats.org/officeDocument/2006/relationships/header" Target="header3.xm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diagramColors" Target="diagrams/colors1.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diagramQuickStyle" Target="diagrams/quickStyle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www.cdainc.com/cdawww/pdf/other/lp_feedback_research_report_Pdf_1.pdf" TargetMode="External"/><Relationship Id="rId2" Type="http://schemas.openxmlformats.org/officeDocument/2006/relationships/hyperlink" Target="http://www.cdainc.com/cdawww/project_profile.php?pid=LISTEN&amp;pname=Listening%20Project" TargetMode="External"/><Relationship Id="rId1" Type="http://schemas.openxmlformats.org/officeDocument/2006/relationships/hyperlink" Target="http://www.cdainc.com/cdawww/pdf/other/lp_feedback_research_report_Pdf_1.pdf" TargetMode="External"/><Relationship Id="rId5" Type="http://schemas.openxmlformats.org/officeDocument/2006/relationships/hyperlink" Target="http://www.cdainc.com/cdawww/pdf/other/lp_feedback_research_report_Pdf_1.pdf" TargetMode="External"/><Relationship Id="rId4" Type="http://schemas.openxmlformats.org/officeDocument/2006/relationships/hyperlink" Target="http://www.oneworldtrust.org/index.php%3Foption%3Dcom_docman%26task%3Ddoc_download%26gid%3D210%26Ite%20mid%3D55&amp;sa=U&amp;ei=tNKiT-riJ6jC6AHq6qjvCA&amp;ved=0CBQQFjAA&amp;usg=AFQjCNHnQvkQfVtUR6i1ozGMekW-9j3DP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diagrams/colors1.xml><?xml version="1.0" encoding="utf-8"?>
<dgm:colorsDef xmlns:dgm="http://schemas.openxmlformats.org/drawingml/2006/diagram" xmlns:a="http://schemas.openxmlformats.org/drawingml/2006/main" uniqueId="urn:microsoft.com/office/officeart/2005/8/colors/accent1_3">
  <dgm:title val=""/>
  <dgm:desc val=""/>
  <dgm:catLst>
    <dgm:cat type="accent1" pri="11300"/>
  </dgm:catLst>
  <dgm:styleLbl name="node0">
    <dgm:fillClrLst meth="repeat">
      <a:schemeClr val="accent1">
        <a:shade val="80000"/>
      </a:schemeClr>
    </dgm:fillClrLst>
    <dgm:linClrLst meth="repeat">
      <a:schemeClr val="lt1"/>
    </dgm:linClrLst>
    <dgm:effectClrLst/>
    <dgm:txLinClrLst/>
    <dgm:txFillClrLst/>
    <dgm:txEffectClrLst/>
  </dgm:styleLbl>
  <dgm:styleLbl name="alignNode1">
    <dgm:fillClrLst>
      <a:schemeClr val="accent1">
        <a:shade val="80000"/>
      </a:schemeClr>
      <a:schemeClr val="accent1">
        <a:tint val="70000"/>
      </a:schemeClr>
    </dgm:fillClrLst>
    <dgm:linClrLst>
      <a:schemeClr val="accent1">
        <a:shade val="80000"/>
      </a:schemeClr>
      <a:schemeClr val="accent1">
        <a:tint val="70000"/>
      </a:schemeClr>
    </dgm:linClrLst>
    <dgm:effectClrLst/>
    <dgm:txLinClrLst/>
    <dgm:txFillClrLst/>
    <dgm:txEffectClrLst/>
  </dgm:styleLbl>
  <dgm:styleLbl name="node1">
    <dgm:fillClrLst>
      <a:schemeClr val="accent1">
        <a:shade val="80000"/>
      </a:schemeClr>
      <a:schemeClr val="accent1">
        <a:tint val="70000"/>
      </a:schemeClr>
    </dgm:fillClrLst>
    <dgm:linClrLst meth="repeat">
      <a:schemeClr val="lt1"/>
    </dgm:linClrLst>
    <dgm:effectClrLst/>
    <dgm:txLinClrLst/>
    <dgm:txFillClrLst/>
    <dgm:txEffectClrLst/>
  </dgm:styleLbl>
  <dgm:styleLbl name="lnNode1">
    <dgm:fillClrLst>
      <a:schemeClr val="accent1">
        <a:shade val="80000"/>
      </a:schemeClr>
      <a:schemeClr val="accent1">
        <a:tint val="70000"/>
      </a:schemeClr>
    </dgm:fillClrLst>
    <dgm:linClrLst meth="repeat">
      <a:schemeClr val="lt1"/>
    </dgm:linClrLst>
    <dgm:effectClrLst/>
    <dgm:txLinClrLst/>
    <dgm:txFillClrLst/>
    <dgm:txEffectClrLst/>
  </dgm:styleLbl>
  <dgm:styleLbl name="vennNode1">
    <dgm:fillClrLst>
      <a:schemeClr val="accent1">
        <a:shade val="80000"/>
        <a:alpha val="50000"/>
      </a:schemeClr>
      <a:schemeClr val="accent1">
        <a:tint val="70000"/>
        <a:alpha val="50000"/>
      </a:schemeClr>
    </dgm:fillClrLst>
    <dgm:linClrLst meth="repeat">
      <a:schemeClr val="lt1"/>
    </dgm:linClrLst>
    <dgm:effectClrLst/>
    <dgm:txLinClrLst/>
    <dgm:txFillClrLst/>
    <dgm:txEffectClrLst/>
  </dgm:styleLbl>
  <dgm:styleLbl name="node2">
    <dgm:fillClrLst>
      <a:schemeClr val="accent1">
        <a:tint val="99000"/>
      </a:schemeClr>
    </dgm:fillClrLst>
    <dgm:linClrLst meth="repeat">
      <a:schemeClr val="lt1"/>
    </dgm:linClrLst>
    <dgm:effectClrLst/>
    <dgm:txLinClrLst/>
    <dgm:txFillClrLst/>
    <dgm:txEffectClrLst/>
  </dgm:styleLbl>
  <dgm:styleLbl name="node3">
    <dgm:fillClrLst>
      <a:schemeClr val="accent1">
        <a:tint val="80000"/>
      </a:schemeClr>
    </dgm:fillClrLst>
    <dgm:linClrLst meth="repeat">
      <a:schemeClr val="lt1"/>
    </dgm:linClrLst>
    <dgm:effectClrLst/>
    <dgm:txLinClrLst/>
    <dgm:txFillClrLst/>
    <dgm:txEffectClrLst/>
  </dgm:styleLbl>
  <dgm:styleLbl name="node4">
    <dgm:fillClrLst>
      <a:schemeClr val="accent1">
        <a:tint val="70000"/>
      </a:schemeClr>
    </dgm:fillClrLst>
    <dgm:linClrLst meth="repeat">
      <a:schemeClr val="lt1"/>
    </dgm:linClrLst>
    <dgm:effectClrLst/>
    <dgm:txLinClrLst/>
    <dgm:txFillClrLst/>
    <dgm:txEffectClrLst/>
  </dgm:styleLbl>
  <dgm:styleLbl name="f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dgm:txEffectClrLst/>
  </dgm:styleLbl>
  <dgm:styleLbl name="fg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lt1"/>
    </dgm:txFillClrLst>
    <dgm:txEffectClrLst/>
  </dgm:styleLbl>
  <dgm:styleLbl name="bgSibTrans2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lt1"/>
    </dgm:txFillClrLst>
    <dgm:txEffectClrLst/>
  </dgm:styleLbl>
  <dgm:styleLbl name="sibTrans1D1">
    <dgm:fillClrLst>
      <a:schemeClr val="accent1">
        <a:shade val="90000"/>
      </a:schemeClr>
      <a:schemeClr val="accent1">
        <a:tint val="70000"/>
      </a:schemeClr>
    </dgm:fillClrLst>
    <dgm:linClrLst>
      <a:schemeClr val="accent1">
        <a:shade val="90000"/>
      </a:schemeClr>
      <a:schemeClr val="accent1">
        <a:tint val="70000"/>
      </a:schemeClr>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accent1">
        <a:shade val="80000"/>
      </a:schemeClr>
    </dgm:fillClrLst>
    <dgm:linClrLst meth="repeat">
      <a:schemeClr val="lt1"/>
    </dgm:linClrLst>
    <dgm:effectClrLst/>
    <dgm:txLinClrLst/>
    <dgm:txFillClrLst/>
    <dgm:txEffectClrLst/>
  </dgm:styleLbl>
  <dgm:styleLbl name="asst1">
    <dgm:fillClrLst meth="repeat">
      <a:schemeClr val="accent1">
        <a:shade val="80000"/>
      </a:schemeClr>
    </dgm:fillClrLst>
    <dgm:linClrLst meth="repeat">
      <a:schemeClr val="lt1"/>
    </dgm:linClrLst>
    <dgm:effectClrLst/>
    <dgm:txLinClrLst/>
    <dgm:txFillClrLst/>
    <dgm:txEffectClrLst/>
  </dgm:styleLbl>
  <dgm:styleLbl name="asst2">
    <dgm:fillClrLst>
      <a:schemeClr val="accent1">
        <a:tint val="99000"/>
      </a:schemeClr>
    </dgm:fillClrLst>
    <dgm:linClrLst meth="repeat">
      <a:schemeClr val="lt1"/>
    </dgm:linClrLst>
    <dgm:effectClrLst/>
    <dgm:txLinClrLst/>
    <dgm:txFillClrLst/>
    <dgm:txEffectClrLst/>
  </dgm:styleLbl>
  <dgm:styleLbl name="asst3">
    <dgm:fillClrLst>
      <a:schemeClr val="accent1">
        <a:tint val="80000"/>
      </a:schemeClr>
    </dgm:fillClrLst>
    <dgm:linClrLst meth="repeat">
      <a:schemeClr val="lt1"/>
    </dgm:linClrLst>
    <dgm:effectClrLst/>
    <dgm:txLinClrLst/>
    <dgm:txFillClrLst/>
    <dgm:txEffectClrLst/>
  </dgm:styleLbl>
  <dgm:styleLbl name="asst4">
    <dgm:fillClrLst>
      <a:schemeClr val="accent1">
        <a:tint val="70000"/>
      </a:schemeClr>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a:tint val="90000"/>
      </a:schemeClr>
    </dgm:fillClrLst>
    <dgm:linClrLst meth="repeat">
      <a:schemeClr val="accent1">
        <a:tint val="90000"/>
      </a:schemeClr>
    </dgm:linClrLst>
    <dgm:effectClrLst/>
    <dgm:txLinClrLst/>
    <dgm:txFillClrLst/>
    <dgm:txEffectClrLst/>
  </dgm:styleLbl>
  <dgm:styleLbl name="parChTrans2D3">
    <dgm:fillClrLst meth="repeat">
      <a:schemeClr val="accent1">
        <a:tint val="70000"/>
      </a:schemeClr>
    </dgm:fillClrLst>
    <dgm:linClrLst meth="repeat">
      <a:schemeClr val="accent1">
        <a:tint val="70000"/>
      </a:schemeClr>
    </dgm:linClrLst>
    <dgm:effectClrLst/>
    <dgm:txLinClrLst/>
    <dgm:txFillClrLst/>
    <dgm:txEffectClrLst/>
  </dgm:styleLbl>
  <dgm:styleLbl name="parChTrans2D4">
    <dgm:fillClrLst meth="repeat">
      <a:schemeClr val="accent1">
        <a:tint val="50000"/>
      </a:schemeClr>
    </dgm:fillClrLst>
    <dgm:linClrLst meth="repeat">
      <a:schemeClr val="accent1">
        <a:tint val="50000"/>
      </a:schemeClr>
    </dgm:linClrLst>
    <dgm:effectClrLst/>
    <dgm:txLinClrLst/>
    <dgm:txFillClrLst meth="repeat">
      <a:schemeClr val="lt1"/>
    </dgm:txFillClrLst>
    <dgm:txEffectClrLst/>
  </dgm:styleLbl>
  <dgm:styleLbl name="parChTrans1D1">
    <dgm:fillClrLst meth="repeat">
      <a:schemeClr val="accent1">
        <a:shade val="80000"/>
      </a:schemeClr>
    </dgm:fillClrLst>
    <dgm:linClrLst meth="repeat">
      <a:schemeClr val="accent1">
        <a:shade val="80000"/>
      </a:schemeClr>
    </dgm:linClrLst>
    <dgm:effectClrLst/>
    <dgm:txLinClrLst/>
    <dgm:txFillClrLst meth="repeat">
      <a:schemeClr val="tx1"/>
    </dgm:txFillClrLst>
    <dgm:txEffectClrLst/>
  </dgm:styleLbl>
  <dgm:styleLbl name="parChTrans1D2">
    <dgm:fillClrLst meth="repeat">
      <a:schemeClr val="accent1">
        <a:tint val="99000"/>
      </a:schemeClr>
    </dgm:fillClrLst>
    <dgm:linClrLst meth="repeat">
      <a:schemeClr val="accent1">
        <a:tint val="99000"/>
      </a:schemeClr>
    </dgm:linClrLst>
    <dgm:effectClrLst/>
    <dgm:txLinClrLst/>
    <dgm:txFillClrLst meth="repeat">
      <a:schemeClr val="tx1"/>
    </dgm:txFillClrLst>
    <dgm:txEffectClrLst/>
  </dgm:styleLbl>
  <dgm:styleLbl name="parChTrans1D3">
    <dgm:fillClrLst meth="repeat">
      <a:schemeClr val="accent1">
        <a:tint val="80000"/>
      </a:schemeClr>
    </dgm:fillClrLst>
    <dgm:linClrLst meth="repeat">
      <a:schemeClr val="accent1">
        <a:tint val="80000"/>
      </a:schemeClr>
    </dgm:linClrLst>
    <dgm:effectClrLst/>
    <dgm:txLinClrLst/>
    <dgm:txFillClrLst meth="repeat">
      <a:schemeClr val="tx1"/>
    </dgm:txFillClrLst>
    <dgm:txEffectClrLst/>
  </dgm:styleLbl>
  <dgm:styleLbl name="parChTrans1D4">
    <dgm:fillClrLst meth="repeat">
      <a:schemeClr val="accent1">
        <a:tint val="70000"/>
      </a:schemeClr>
    </dgm:fillClrLst>
    <dgm:linClrLst meth="repeat">
      <a:schemeClr val="accent1">
        <a:tint val="70000"/>
      </a:schemeClr>
    </dgm:linClrLst>
    <dgm:effectClrLst/>
    <dgm:txLinClrLst/>
    <dgm:txFillClrLst meth="repeat">
      <a:schemeClr val="tx1"/>
    </dgm:txFillClrLst>
    <dgm:txEffectClrLst/>
  </dgm:styleLbl>
  <dgm:styleLbl name="f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conF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align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a:schemeClr val="accent1">
        <a:shade val="80000"/>
      </a:schemeClr>
      <a:schemeClr val="accent1">
        <a:tint val="70000"/>
      </a:schemeClr>
    </dgm:linClrLst>
    <dgm:effectClrLst/>
    <dgm:txLinClrLst/>
    <dgm:txFillClrLst meth="repeat">
      <a:schemeClr val="dk1"/>
    </dgm:txFillClrLst>
    <dgm:txEffectClrLst/>
  </dgm:styleLbl>
  <dgm:styleLbl name="solidFgAcc1">
    <dgm:fillClrLst meth="repeat">
      <a:schemeClr val="lt1"/>
    </dgm:fillClrLst>
    <dgm:linClrLst>
      <a:schemeClr val="accent1">
        <a:shade val="80000"/>
      </a:schemeClr>
      <a:schemeClr val="accent1">
        <a:tint val="70000"/>
      </a:schemeClr>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lt1"/>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a:shade val="80000"/>
      </a:schemeClr>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a:tint val="99000"/>
      </a:schemeClr>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a:tint val="80000"/>
      </a:schemeClr>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a:tint val="70000"/>
      </a:schemeClr>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1">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13B336D8-F181-BB4D-A7DA-36A19DCB74D2}" type="doc">
      <dgm:prSet loTypeId="urn:microsoft.com/office/officeart/2005/8/layout/hChevron3" loCatId="" qsTypeId="urn:microsoft.com/office/officeart/2005/8/quickstyle/simple1" qsCatId="simple" csTypeId="urn:microsoft.com/office/officeart/2005/8/colors/accent1_3" csCatId="accent1" phldr="1"/>
      <dgm:spPr/>
    </dgm:pt>
    <dgm:pt modelId="{0239FDA5-858C-6249-B56E-950D02B53D9C}">
      <dgm:prSet phldrT="[Text]"/>
      <dgm:spPr>
        <a:xfrm>
          <a:off x="3238" y="196556"/>
          <a:ext cx="1003858" cy="401543"/>
        </a:xfrm>
        <a:solidFill>
          <a:srgbClr val="FBC01E">
            <a:shade val="80000"/>
            <a:hueOff val="0"/>
            <a:satOff val="0"/>
            <a:lumOff val="0"/>
            <a:alphaOff val="0"/>
          </a:srgbClr>
        </a:solidFill>
        <a:ln w="28575" cap="flat" cmpd="sng" algn="ctr">
          <a:solidFill>
            <a:sysClr val="window" lastClr="FFFFFF">
              <a:hueOff val="0"/>
              <a:satOff val="0"/>
              <a:lumOff val="0"/>
              <a:alphaOff val="0"/>
            </a:sysClr>
          </a:solidFill>
          <a:prstDash val="solid"/>
        </a:ln>
        <a:effectLst/>
      </dgm:spPr>
      <dgm:t>
        <a:bodyPr/>
        <a:lstStyle/>
        <a:p>
          <a:pPr algn="ctr"/>
          <a:r>
            <a:rPr lang="en-US">
              <a:solidFill>
                <a:sysClr val="window" lastClr="FFFFFF"/>
              </a:solidFill>
              <a:latin typeface="Calibri"/>
              <a:ea typeface="+mn-ea"/>
              <a:cs typeface="+mn-cs"/>
            </a:rPr>
            <a:t>Choose Methods</a:t>
          </a:r>
        </a:p>
      </dgm:t>
    </dgm:pt>
    <dgm:pt modelId="{DAEA96A8-4FE6-D74C-AE44-F7539BA2E5B7}" type="parTrans" cxnId="{21DB4463-BE4B-4043-8633-D13097091879}">
      <dgm:prSet/>
      <dgm:spPr/>
      <dgm:t>
        <a:bodyPr/>
        <a:lstStyle/>
        <a:p>
          <a:pPr algn="ctr"/>
          <a:endParaRPr lang="en-US"/>
        </a:p>
      </dgm:t>
    </dgm:pt>
    <dgm:pt modelId="{A822B836-0007-3E41-9483-C74B0844CFA5}" type="sibTrans" cxnId="{21DB4463-BE4B-4043-8633-D13097091879}">
      <dgm:prSet/>
      <dgm:spPr/>
      <dgm:t>
        <a:bodyPr/>
        <a:lstStyle/>
        <a:p>
          <a:pPr algn="ctr"/>
          <a:endParaRPr lang="en-US"/>
        </a:p>
      </dgm:t>
    </dgm:pt>
    <dgm:pt modelId="{BE4DE677-DE70-D04E-BA74-5089C4AE86B8}">
      <dgm:prSet phldrT="[Text]"/>
      <dgm:spPr>
        <a:xfrm>
          <a:off x="806324" y="196556"/>
          <a:ext cx="1003858" cy="401543"/>
        </a:xfrm>
        <a:solidFill>
          <a:srgbClr val="FBC01E">
            <a:shade val="80000"/>
            <a:hueOff val="-59195"/>
            <a:satOff val="2193"/>
            <a:lumOff val="4190"/>
            <a:alphaOff val="0"/>
          </a:srgbClr>
        </a:solidFill>
        <a:ln w="28575" cap="flat" cmpd="sng" algn="ctr">
          <a:solidFill>
            <a:sysClr val="window" lastClr="FFFFFF">
              <a:hueOff val="0"/>
              <a:satOff val="0"/>
              <a:lumOff val="0"/>
              <a:alphaOff val="0"/>
            </a:sysClr>
          </a:solidFill>
          <a:prstDash val="solid"/>
        </a:ln>
        <a:effectLst/>
      </dgm:spPr>
      <dgm:t>
        <a:bodyPr/>
        <a:lstStyle/>
        <a:p>
          <a:pPr algn="ctr"/>
          <a:r>
            <a:rPr lang="en-US">
              <a:solidFill>
                <a:sysClr val="window" lastClr="FFFFFF"/>
              </a:solidFill>
              <a:latin typeface="Calibri"/>
              <a:ea typeface="+mn-ea"/>
              <a:cs typeface="+mn-cs"/>
            </a:rPr>
            <a:t>Adapt Tools</a:t>
          </a:r>
        </a:p>
      </dgm:t>
    </dgm:pt>
    <dgm:pt modelId="{8F0411BF-738F-124E-A7A3-7D0695A199AF}" type="parTrans" cxnId="{5CAC52C2-E564-C84B-B87B-69CE43E312B5}">
      <dgm:prSet/>
      <dgm:spPr/>
      <dgm:t>
        <a:bodyPr/>
        <a:lstStyle/>
        <a:p>
          <a:pPr algn="ctr"/>
          <a:endParaRPr lang="en-US"/>
        </a:p>
      </dgm:t>
    </dgm:pt>
    <dgm:pt modelId="{B2B6A955-691A-DD42-8AE0-36A80617245F}" type="sibTrans" cxnId="{5CAC52C2-E564-C84B-B87B-69CE43E312B5}">
      <dgm:prSet/>
      <dgm:spPr/>
      <dgm:t>
        <a:bodyPr/>
        <a:lstStyle/>
        <a:p>
          <a:pPr algn="ctr"/>
          <a:endParaRPr lang="en-US"/>
        </a:p>
      </dgm:t>
    </dgm:pt>
    <dgm:pt modelId="{DB1DBA0B-8A39-C04C-8809-94E2F2AFD068}">
      <dgm:prSet phldrT="[Text]"/>
      <dgm:spPr>
        <a:xfrm>
          <a:off x="5624843" y="196556"/>
          <a:ext cx="1003858" cy="401543"/>
        </a:xfrm>
        <a:solidFill>
          <a:srgbClr val="FBC01E">
            <a:shade val="80000"/>
            <a:hueOff val="-414363"/>
            <a:satOff val="15350"/>
            <a:lumOff val="29328"/>
            <a:alphaOff val="0"/>
          </a:srgbClr>
        </a:solidFill>
        <a:ln w="28575" cap="flat" cmpd="sng" algn="ctr">
          <a:solidFill>
            <a:sysClr val="window" lastClr="FFFFFF">
              <a:hueOff val="0"/>
              <a:satOff val="0"/>
              <a:lumOff val="0"/>
              <a:alphaOff val="0"/>
            </a:sysClr>
          </a:solidFill>
          <a:prstDash val="solid"/>
        </a:ln>
        <a:effectLst/>
      </dgm:spPr>
      <dgm:t>
        <a:bodyPr/>
        <a:lstStyle/>
        <a:p>
          <a:pPr algn="ctr"/>
          <a:r>
            <a:rPr lang="en-US">
              <a:solidFill>
                <a:sysClr val="window" lastClr="FFFFFF"/>
              </a:solidFill>
              <a:latin typeface="Calibri"/>
              <a:ea typeface="+mn-ea"/>
              <a:cs typeface="+mn-cs"/>
            </a:rPr>
            <a:t>Address</a:t>
          </a:r>
        </a:p>
      </dgm:t>
    </dgm:pt>
    <dgm:pt modelId="{BE09EEA6-708E-2C44-98A2-AED73D0C7BA5}" type="parTrans" cxnId="{2911855A-2736-064C-A623-FE1D5162D588}">
      <dgm:prSet/>
      <dgm:spPr/>
      <dgm:t>
        <a:bodyPr/>
        <a:lstStyle/>
        <a:p>
          <a:pPr algn="ctr"/>
          <a:endParaRPr lang="en-US"/>
        </a:p>
      </dgm:t>
    </dgm:pt>
    <dgm:pt modelId="{EDF27A77-AFFC-424B-951B-EDE11AE8A3FC}" type="sibTrans" cxnId="{2911855A-2736-064C-A623-FE1D5162D588}">
      <dgm:prSet/>
      <dgm:spPr/>
      <dgm:t>
        <a:bodyPr/>
        <a:lstStyle/>
        <a:p>
          <a:pPr algn="ctr"/>
          <a:endParaRPr lang="en-US"/>
        </a:p>
      </dgm:t>
    </dgm:pt>
    <dgm:pt modelId="{C90D3098-8C20-8E48-821F-98BB6CEA14D9}">
      <dgm:prSet phldrT="[Text]"/>
      <dgm:spPr>
        <a:xfrm>
          <a:off x="1609411" y="196556"/>
          <a:ext cx="1003858" cy="401543"/>
        </a:xfrm>
        <a:solidFill>
          <a:srgbClr val="FBC01E">
            <a:shade val="80000"/>
            <a:hueOff val="-118389"/>
            <a:satOff val="4386"/>
            <a:lumOff val="8379"/>
            <a:alphaOff val="0"/>
          </a:srgbClr>
        </a:solidFill>
        <a:ln w="28575" cap="flat" cmpd="sng" algn="ctr">
          <a:solidFill>
            <a:sysClr val="window" lastClr="FFFFFF">
              <a:hueOff val="0"/>
              <a:satOff val="0"/>
              <a:lumOff val="0"/>
              <a:alphaOff val="0"/>
            </a:sysClr>
          </a:solidFill>
          <a:prstDash val="solid"/>
        </a:ln>
        <a:effectLst/>
      </dgm:spPr>
      <dgm:t>
        <a:bodyPr/>
        <a:lstStyle/>
        <a:p>
          <a:pPr algn="ctr"/>
          <a:r>
            <a:rPr lang="en-US">
              <a:solidFill>
                <a:sysClr val="window" lastClr="FFFFFF"/>
              </a:solidFill>
              <a:latin typeface="Calibri"/>
              <a:ea typeface="+mn-ea"/>
              <a:cs typeface="+mn-cs"/>
            </a:rPr>
            <a:t>Train Staff</a:t>
          </a:r>
        </a:p>
      </dgm:t>
    </dgm:pt>
    <dgm:pt modelId="{6DFF4E8F-6CDF-6745-82F2-A2446DF66A9C}" type="parTrans" cxnId="{56246A6B-5B81-614A-9A63-C9DF61C0AC5F}">
      <dgm:prSet/>
      <dgm:spPr/>
      <dgm:t>
        <a:bodyPr/>
        <a:lstStyle/>
        <a:p>
          <a:pPr algn="ctr"/>
          <a:endParaRPr lang="en-US"/>
        </a:p>
      </dgm:t>
    </dgm:pt>
    <dgm:pt modelId="{79ED6A18-6A27-B847-8EBD-03CDFB350B4D}" type="sibTrans" cxnId="{56246A6B-5B81-614A-9A63-C9DF61C0AC5F}">
      <dgm:prSet/>
      <dgm:spPr/>
      <dgm:t>
        <a:bodyPr/>
        <a:lstStyle/>
        <a:p>
          <a:pPr algn="ctr"/>
          <a:endParaRPr lang="en-US"/>
        </a:p>
      </dgm:t>
    </dgm:pt>
    <dgm:pt modelId="{3ADA02C1-6E6C-F94E-9BD9-D2FEE2105B73}">
      <dgm:prSet phldrT="[Text]"/>
      <dgm:spPr>
        <a:xfrm>
          <a:off x="2412497" y="196556"/>
          <a:ext cx="1003858" cy="401543"/>
        </a:xfrm>
        <a:solidFill>
          <a:srgbClr val="FBC01E">
            <a:shade val="80000"/>
            <a:hueOff val="-177584"/>
            <a:satOff val="6579"/>
            <a:lumOff val="12569"/>
            <a:alphaOff val="0"/>
          </a:srgbClr>
        </a:solidFill>
        <a:ln w="28575" cap="flat" cmpd="sng" algn="ctr">
          <a:solidFill>
            <a:sysClr val="window" lastClr="FFFFFF">
              <a:hueOff val="0"/>
              <a:satOff val="0"/>
              <a:lumOff val="0"/>
              <a:alphaOff val="0"/>
            </a:sysClr>
          </a:solidFill>
          <a:prstDash val="solid"/>
        </a:ln>
        <a:effectLst/>
      </dgm:spPr>
      <dgm:t>
        <a:bodyPr/>
        <a:lstStyle/>
        <a:p>
          <a:pPr algn="ctr"/>
          <a:r>
            <a:rPr lang="en-US">
              <a:solidFill>
                <a:sysClr val="window" lastClr="FFFFFF"/>
              </a:solidFill>
              <a:latin typeface="Calibri"/>
              <a:ea typeface="+mn-ea"/>
              <a:cs typeface="+mn-cs"/>
            </a:rPr>
            <a:t>Publicize</a:t>
          </a:r>
        </a:p>
      </dgm:t>
    </dgm:pt>
    <dgm:pt modelId="{5FACCEB1-FBFC-5247-B5EF-7D3F14394E73}" type="parTrans" cxnId="{EC82856C-E87B-544E-AAD8-EDFE601AEBF4}">
      <dgm:prSet/>
      <dgm:spPr/>
      <dgm:t>
        <a:bodyPr/>
        <a:lstStyle/>
        <a:p>
          <a:pPr algn="ctr"/>
          <a:endParaRPr lang="en-US"/>
        </a:p>
      </dgm:t>
    </dgm:pt>
    <dgm:pt modelId="{7ABAE89A-570A-994B-A6E1-B80CA4D48552}" type="sibTrans" cxnId="{EC82856C-E87B-544E-AAD8-EDFE601AEBF4}">
      <dgm:prSet/>
      <dgm:spPr/>
      <dgm:t>
        <a:bodyPr/>
        <a:lstStyle/>
        <a:p>
          <a:pPr algn="ctr"/>
          <a:endParaRPr lang="en-US"/>
        </a:p>
      </dgm:t>
    </dgm:pt>
    <dgm:pt modelId="{8F40CEBE-981F-1B43-AE61-3FFB1D3F46FB}">
      <dgm:prSet phldrT="[Text]"/>
      <dgm:spPr>
        <a:xfrm>
          <a:off x="3215584" y="196556"/>
          <a:ext cx="1003858" cy="401543"/>
        </a:xfrm>
        <a:solidFill>
          <a:srgbClr val="FBC01E">
            <a:shade val="80000"/>
            <a:hueOff val="-236779"/>
            <a:satOff val="8771"/>
            <a:lumOff val="16759"/>
            <a:alphaOff val="0"/>
          </a:srgbClr>
        </a:solidFill>
        <a:ln w="28575" cap="flat" cmpd="sng" algn="ctr">
          <a:solidFill>
            <a:sysClr val="window" lastClr="FFFFFF">
              <a:hueOff val="0"/>
              <a:satOff val="0"/>
              <a:lumOff val="0"/>
              <a:alphaOff val="0"/>
            </a:sysClr>
          </a:solidFill>
          <a:prstDash val="solid"/>
        </a:ln>
        <a:effectLst/>
      </dgm:spPr>
      <dgm:t>
        <a:bodyPr/>
        <a:lstStyle/>
        <a:p>
          <a:pPr algn="ctr"/>
          <a:r>
            <a:rPr lang="en-US">
              <a:solidFill>
                <a:sysClr val="window" lastClr="FFFFFF"/>
              </a:solidFill>
              <a:latin typeface="Calibri"/>
              <a:ea typeface="+mn-ea"/>
              <a:cs typeface="+mn-cs"/>
            </a:rPr>
            <a:t>Use</a:t>
          </a:r>
        </a:p>
      </dgm:t>
    </dgm:pt>
    <dgm:pt modelId="{1D163F10-3871-E74C-B67D-B711A4D9EC4A}" type="parTrans" cxnId="{948C748D-8974-C646-A465-DE7460B14B57}">
      <dgm:prSet/>
      <dgm:spPr/>
      <dgm:t>
        <a:bodyPr/>
        <a:lstStyle/>
        <a:p>
          <a:pPr algn="ctr"/>
          <a:endParaRPr lang="en-US"/>
        </a:p>
      </dgm:t>
    </dgm:pt>
    <dgm:pt modelId="{B87F8066-28D4-1B4E-A974-0C5575E4B59A}" type="sibTrans" cxnId="{948C748D-8974-C646-A465-DE7460B14B57}">
      <dgm:prSet/>
      <dgm:spPr/>
      <dgm:t>
        <a:bodyPr/>
        <a:lstStyle/>
        <a:p>
          <a:pPr algn="ctr"/>
          <a:endParaRPr lang="en-US"/>
        </a:p>
      </dgm:t>
    </dgm:pt>
    <dgm:pt modelId="{2A246565-9AC7-F045-8FAC-FAAC568DEFE8}">
      <dgm:prSet phldrT="[Text]"/>
      <dgm:spPr>
        <a:xfrm>
          <a:off x="4018670" y="196556"/>
          <a:ext cx="1003858" cy="401543"/>
        </a:xfrm>
        <a:solidFill>
          <a:srgbClr val="FBC01E">
            <a:shade val="80000"/>
            <a:hueOff val="-295974"/>
            <a:satOff val="10964"/>
            <a:lumOff val="20949"/>
            <a:alphaOff val="0"/>
          </a:srgbClr>
        </a:solidFill>
        <a:ln w="28575" cap="flat" cmpd="sng" algn="ctr">
          <a:solidFill>
            <a:sysClr val="window" lastClr="FFFFFF">
              <a:hueOff val="0"/>
              <a:satOff val="0"/>
              <a:lumOff val="0"/>
              <a:alphaOff val="0"/>
            </a:sysClr>
          </a:solidFill>
          <a:prstDash val="solid"/>
        </a:ln>
        <a:effectLst/>
      </dgm:spPr>
      <dgm:t>
        <a:bodyPr/>
        <a:lstStyle/>
        <a:p>
          <a:pPr algn="ctr"/>
          <a:r>
            <a:rPr lang="en-US">
              <a:solidFill>
                <a:sysClr val="window" lastClr="FFFFFF"/>
              </a:solidFill>
              <a:latin typeface="Calibri"/>
              <a:ea typeface="+mn-ea"/>
              <a:cs typeface="+mn-cs"/>
            </a:rPr>
            <a:t>Track</a:t>
          </a:r>
        </a:p>
      </dgm:t>
    </dgm:pt>
    <dgm:pt modelId="{66A1504D-A0C9-6F42-A239-12E02626C181}" type="parTrans" cxnId="{7EF328F9-9152-7A45-870A-83882BF76D1B}">
      <dgm:prSet/>
      <dgm:spPr/>
      <dgm:t>
        <a:bodyPr/>
        <a:lstStyle/>
        <a:p>
          <a:pPr algn="ctr"/>
          <a:endParaRPr lang="en-US"/>
        </a:p>
      </dgm:t>
    </dgm:pt>
    <dgm:pt modelId="{0760F029-4DB8-B245-B274-945570F7FA0C}" type="sibTrans" cxnId="{7EF328F9-9152-7A45-870A-83882BF76D1B}">
      <dgm:prSet/>
      <dgm:spPr/>
      <dgm:t>
        <a:bodyPr/>
        <a:lstStyle/>
        <a:p>
          <a:pPr algn="ctr"/>
          <a:endParaRPr lang="en-US"/>
        </a:p>
      </dgm:t>
    </dgm:pt>
    <dgm:pt modelId="{D5B89798-E289-1041-9616-8CD3BCA93785}">
      <dgm:prSet phldrT="[Text]"/>
      <dgm:spPr>
        <a:xfrm>
          <a:off x="4821757" y="196556"/>
          <a:ext cx="1003858" cy="401543"/>
        </a:xfrm>
        <a:solidFill>
          <a:srgbClr val="FBC01E">
            <a:shade val="80000"/>
            <a:hueOff val="-355168"/>
            <a:satOff val="13157"/>
            <a:lumOff val="25138"/>
            <a:alphaOff val="0"/>
          </a:srgbClr>
        </a:solidFill>
        <a:ln w="28575" cap="flat" cmpd="sng" algn="ctr">
          <a:solidFill>
            <a:sysClr val="window" lastClr="FFFFFF">
              <a:hueOff val="0"/>
              <a:satOff val="0"/>
              <a:lumOff val="0"/>
              <a:alphaOff val="0"/>
            </a:sysClr>
          </a:solidFill>
          <a:prstDash val="solid"/>
        </a:ln>
        <a:effectLst/>
      </dgm:spPr>
      <dgm:t>
        <a:bodyPr/>
        <a:lstStyle/>
        <a:p>
          <a:pPr algn="ctr"/>
          <a:r>
            <a:rPr lang="en-US">
              <a:solidFill>
                <a:sysClr val="window" lastClr="FFFFFF"/>
              </a:solidFill>
              <a:latin typeface="Calibri"/>
              <a:ea typeface="+mn-ea"/>
              <a:cs typeface="+mn-cs"/>
            </a:rPr>
            <a:t>Refer</a:t>
          </a:r>
        </a:p>
      </dgm:t>
    </dgm:pt>
    <dgm:pt modelId="{91541883-6DE1-DB41-A5C1-0449DF3C0722}" type="parTrans" cxnId="{41D52406-DACA-0440-BB79-22B373EA7A14}">
      <dgm:prSet/>
      <dgm:spPr/>
      <dgm:t>
        <a:bodyPr/>
        <a:lstStyle/>
        <a:p>
          <a:pPr algn="ctr"/>
          <a:endParaRPr lang="en-US"/>
        </a:p>
      </dgm:t>
    </dgm:pt>
    <dgm:pt modelId="{E9D93AE4-A207-2147-8C5E-F833866247EC}" type="sibTrans" cxnId="{41D52406-DACA-0440-BB79-22B373EA7A14}">
      <dgm:prSet/>
      <dgm:spPr/>
      <dgm:t>
        <a:bodyPr/>
        <a:lstStyle/>
        <a:p>
          <a:pPr algn="ctr"/>
          <a:endParaRPr lang="en-US"/>
        </a:p>
      </dgm:t>
    </dgm:pt>
    <dgm:pt modelId="{1CE7EAD2-1513-F44D-BB79-07A5B46C1FAA}" type="pres">
      <dgm:prSet presAssocID="{13B336D8-F181-BB4D-A7DA-36A19DCB74D2}" presName="Name0" presStyleCnt="0">
        <dgm:presLayoutVars>
          <dgm:dir/>
          <dgm:resizeHandles val="exact"/>
        </dgm:presLayoutVars>
      </dgm:prSet>
      <dgm:spPr/>
    </dgm:pt>
    <dgm:pt modelId="{27FD4078-2ADF-7946-92A8-B6FA3881F1C7}" type="pres">
      <dgm:prSet presAssocID="{0239FDA5-858C-6249-B56E-950D02B53D9C}" presName="parTxOnly" presStyleLbl="node1" presStyleIdx="0" presStyleCnt="8">
        <dgm:presLayoutVars>
          <dgm:bulletEnabled val="1"/>
        </dgm:presLayoutVars>
      </dgm:prSet>
      <dgm:spPr>
        <a:prstGeom prst="homePlate">
          <a:avLst/>
        </a:prstGeom>
      </dgm:spPr>
      <dgm:t>
        <a:bodyPr/>
        <a:lstStyle/>
        <a:p>
          <a:endParaRPr lang="en-US"/>
        </a:p>
      </dgm:t>
    </dgm:pt>
    <dgm:pt modelId="{A5E15196-507E-ED40-9ACF-8BB0D60EE7B2}" type="pres">
      <dgm:prSet presAssocID="{A822B836-0007-3E41-9483-C74B0844CFA5}" presName="parSpace" presStyleCnt="0"/>
      <dgm:spPr/>
    </dgm:pt>
    <dgm:pt modelId="{1DDDCAAB-A53B-754A-80C9-2F4C14B6AF46}" type="pres">
      <dgm:prSet presAssocID="{BE4DE677-DE70-D04E-BA74-5089C4AE86B8}" presName="parTxOnly" presStyleLbl="node1" presStyleIdx="1" presStyleCnt="8">
        <dgm:presLayoutVars>
          <dgm:bulletEnabled val="1"/>
        </dgm:presLayoutVars>
      </dgm:prSet>
      <dgm:spPr>
        <a:prstGeom prst="chevron">
          <a:avLst/>
        </a:prstGeom>
      </dgm:spPr>
      <dgm:t>
        <a:bodyPr/>
        <a:lstStyle/>
        <a:p>
          <a:endParaRPr lang="en-US"/>
        </a:p>
      </dgm:t>
    </dgm:pt>
    <dgm:pt modelId="{DABF2617-955A-F14D-AAD4-8C2D6CEAF539}" type="pres">
      <dgm:prSet presAssocID="{B2B6A955-691A-DD42-8AE0-36A80617245F}" presName="parSpace" presStyleCnt="0"/>
      <dgm:spPr/>
    </dgm:pt>
    <dgm:pt modelId="{F5C19815-4DD0-DD4F-A81A-EC4C874F9BD9}" type="pres">
      <dgm:prSet presAssocID="{C90D3098-8C20-8E48-821F-98BB6CEA14D9}" presName="parTxOnly" presStyleLbl="node1" presStyleIdx="2" presStyleCnt="8">
        <dgm:presLayoutVars>
          <dgm:bulletEnabled val="1"/>
        </dgm:presLayoutVars>
      </dgm:prSet>
      <dgm:spPr>
        <a:prstGeom prst="chevron">
          <a:avLst/>
        </a:prstGeom>
      </dgm:spPr>
      <dgm:t>
        <a:bodyPr/>
        <a:lstStyle/>
        <a:p>
          <a:endParaRPr lang="en-US"/>
        </a:p>
      </dgm:t>
    </dgm:pt>
    <dgm:pt modelId="{CDF7E532-E9CA-134C-A569-C84D7DACD8C4}" type="pres">
      <dgm:prSet presAssocID="{79ED6A18-6A27-B847-8EBD-03CDFB350B4D}" presName="parSpace" presStyleCnt="0"/>
      <dgm:spPr/>
    </dgm:pt>
    <dgm:pt modelId="{81CFDE64-8354-394A-8E80-DFC4102E2032}" type="pres">
      <dgm:prSet presAssocID="{3ADA02C1-6E6C-F94E-9BD9-D2FEE2105B73}" presName="parTxOnly" presStyleLbl="node1" presStyleIdx="3" presStyleCnt="8">
        <dgm:presLayoutVars>
          <dgm:bulletEnabled val="1"/>
        </dgm:presLayoutVars>
      </dgm:prSet>
      <dgm:spPr>
        <a:prstGeom prst="chevron">
          <a:avLst/>
        </a:prstGeom>
      </dgm:spPr>
      <dgm:t>
        <a:bodyPr/>
        <a:lstStyle/>
        <a:p>
          <a:endParaRPr lang="en-US"/>
        </a:p>
      </dgm:t>
    </dgm:pt>
    <dgm:pt modelId="{41EFB1C8-0197-044E-8955-77832784E2E2}" type="pres">
      <dgm:prSet presAssocID="{7ABAE89A-570A-994B-A6E1-B80CA4D48552}" presName="parSpace" presStyleCnt="0"/>
      <dgm:spPr/>
    </dgm:pt>
    <dgm:pt modelId="{43FBB942-53D9-2843-BADA-4C1CB2381A1F}" type="pres">
      <dgm:prSet presAssocID="{8F40CEBE-981F-1B43-AE61-3FFB1D3F46FB}" presName="parTxOnly" presStyleLbl="node1" presStyleIdx="4" presStyleCnt="8">
        <dgm:presLayoutVars>
          <dgm:bulletEnabled val="1"/>
        </dgm:presLayoutVars>
      </dgm:prSet>
      <dgm:spPr>
        <a:prstGeom prst="chevron">
          <a:avLst/>
        </a:prstGeom>
      </dgm:spPr>
      <dgm:t>
        <a:bodyPr/>
        <a:lstStyle/>
        <a:p>
          <a:endParaRPr lang="en-US"/>
        </a:p>
      </dgm:t>
    </dgm:pt>
    <dgm:pt modelId="{87F2ADD0-BAD2-B245-80FE-323B40C2DB5C}" type="pres">
      <dgm:prSet presAssocID="{B87F8066-28D4-1B4E-A974-0C5575E4B59A}" presName="parSpace" presStyleCnt="0"/>
      <dgm:spPr/>
    </dgm:pt>
    <dgm:pt modelId="{F82D5FCE-2A1F-3C47-8D31-00840CCF21E0}" type="pres">
      <dgm:prSet presAssocID="{2A246565-9AC7-F045-8FAC-FAAC568DEFE8}" presName="parTxOnly" presStyleLbl="node1" presStyleIdx="5" presStyleCnt="8">
        <dgm:presLayoutVars>
          <dgm:bulletEnabled val="1"/>
        </dgm:presLayoutVars>
      </dgm:prSet>
      <dgm:spPr>
        <a:prstGeom prst="chevron">
          <a:avLst/>
        </a:prstGeom>
      </dgm:spPr>
      <dgm:t>
        <a:bodyPr/>
        <a:lstStyle/>
        <a:p>
          <a:endParaRPr lang="en-US"/>
        </a:p>
      </dgm:t>
    </dgm:pt>
    <dgm:pt modelId="{C0D03A84-241C-8043-B2F5-FD6E61604BAA}" type="pres">
      <dgm:prSet presAssocID="{0760F029-4DB8-B245-B274-945570F7FA0C}" presName="parSpace" presStyleCnt="0"/>
      <dgm:spPr/>
    </dgm:pt>
    <dgm:pt modelId="{CAE6B73C-A743-3E42-A7BD-0C137DFA3595}" type="pres">
      <dgm:prSet presAssocID="{D5B89798-E289-1041-9616-8CD3BCA93785}" presName="parTxOnly" presStyleLbl="node1" presStyleIdx="6" presStyleCnt="8">
        <dgm:presLayoutVars>
          <dgm:bulletEnabled val="1"/>
        </dgm:presLayoutVars>
      </dgm:prSet>
      <dgm:spPr>
        <a:prstGeom prst="chevron">
          <a:avLst/>
        </a:prstGeom>
      </dgm:spPr>
      <dgm:t>
        <a:bodyPr/>
        <a:lstStyle/>
        <a:p>
          <a:endParaRPr lang="en-US"/>
        </a:p>
      </dgm:t>
    </dgm:pt>
    <dgm:pt modelId="{6571A05B-A98E-7A4C-A58D-D156BD3038C7}" type="pres">
      <dgm:prSet presAssocID="{E9D93AE4-A207-2147-8C5E-F833866247EC}" presName="parSpace" presStyleCnt="0"/>
      <dgm:spPr/>
    </dgm:pt>
    <dgm:pt modelId="{00CB02A6-9744-3345-919F-B2376B69A686}" type="pres">
      <dgm:prSet presAssocID="{DB1DBA0B-8A39-C04C-8809-94E2F2AFD068}" presName="parTxOnly" presStyleLbl="node1" presStyleIdx="7" presStyleCnt="8">
        <dgm:presLayoutVars>
          <dgm:bulletEnabled val="1"/>
        </dgm:presLayoutVars>
      </dgm:prSet>
      <dgm:spPr>
        <a:prstGeom prst="chevron">
          <a:avLst/>
        </a:prstGeom>
      </dgm:spPr>
      <dgm:t>
        <a:bodyPr/>
        <a:lstStyle/>
        <a:p>
          <a:endParaRPr lang="en-US"/>
        </a:p>
      </dgm:t>
    </dgm:pt>
  </dgm:ptLst>
  <dgm:cxnLst>
    <dgm:cxn modelId="{7EF328F9-9152-7A45-870A-83882BF76D1B}" srcId="{13B336D8-F181-BB4D-A7DA-36A19DCB74D2}" destId="{2A246565-9AC7-F045-8FAC-FAAC568DEFE8}" srcOrd="5" destOrd="0" parTransId="{66A1504D-A0C9-6F42-A239-12E02626C181}" sibTransId="{0760F029-4DB8-B245-B274-945570F7FA0C}"/>
    <dgm:cxn modelId="{41D52406-DACA-0440-BB79-22B373EA7A14}" srcId="{13B336D8-F181-BB4D-A7DA-36A19DCB74D2}" destId="{D5B89798-E289-1041-9616-8CD3BCA93785}" srcOrd="6" destOrd="0" parTransId="{91541883-6DE1-DB41-A5C1-0449DF3C0722}" sibTransId="{E9D93AE4-A207-2147-8C5E-F833866247EC}"/>
    <dgm:cxn modelId="{CE55E58D-952A-408A-B174-D3416B2B07D5}" type="presOf" srcId="{0239FDA5-858C-6249-B56E-950D02B53D9C}" destId="{27FD4078-2ADF-7946-92A8-B6FA3881F1C7}" srcOrd="0" destOrd="0" presId="urn:microsoft.com/office/officeart/2005/8/layout/hChevron3"/>
    <dgm:cxn modelId="{21DB4463-BE4B-4043-8633-D13097091879}" srcId="{13B336D8-F181-BB4D-A7DA-36A19DCB74D2}" destId="{0239FDA5-858C-6249-B56E-950D02B53D9C}" srcOrd="0" destOrd="0" parTransId="{DAEA96A8-4FE6-D74C-AE44-F7539BA2E5B7}" sibTransId="{A822B836-0007-3E41-9483-C74B0844CFA5}"/>
    <dgm:cxn modelId="{948C748D-8974-C646-A465-DE7460B14B57}" srcId="{13B336D8-F181-BB4D-A7DA-36A19DCB74D2}" destId="{8F40CEBE-981F-1B43-AE61-3FFB1D3F46FB}" srcOrd="4" destOrd="0" parTransId="{1D163F10-3871-E74C-B67D-B711A4D9EC4A}" sibTransId="{B87F8066-28D4-1B4E-A974-0C5575E4B59A}"/>
    <dgm:cxn modelId="{DA4CF48B-D834-4252-90E3-96F254B330C8}" type="presOf" srcId="{BE4DE677-DE70-D04E-BA74-5089C4AE86B8}" destId="{1DDDCAAB-A53B-754A-80C9-2F4C14B6AF46}" srcOrd="0" destOrd="0" presId="urn:microsoft.com/office/officeart/2005/8/layout/hChevron3"/>
    <dgm:cxn modelId="{7E1310D2-6C49-44A6-80D6-E080E295EA61}" type="presOf" srcId="{2A246565-9AC7-F045-8FAC-FAAC568DEFE8}" destId="{F82D5FCE-2A1F-3C47-8D31-00840CCF21E0}" srcOrd="0" destOrd="0" presId="urn:microsoft.com/office/officeart/2005/8/layout/hChevron3"/>
    <dgm:cxn modelId="{EC82856C-E87B-544E-AAD8-EDFE601AEBF4}" srcId="{13B336D8-F181-BB4D-A7DA-36A19DCB74D2}" destId="{3ADA02C1-6E6C-F94E-9BD9-D2FEE2105B73}" srcOrd="3" destOrd="0" parTransId="{5FACCEB1-FBFC-5247-B5EF-7D3F14394E73}" sibTransId="{7ABAE89A-570A-994B-A6E1-B80CA4D48552}"/>
    <dgm:cxn modelId="{EE866A8D-F42A-4A4D-8A3C-289F6468A5F4}" type="presOf" srcId="{DB1DBA0B-8A39-C04C-8809-94E2F2AFD068}" destId="{00CB02A6-9744-3345-919F-B2376B69A686}" srcOrd="0" destOrd="0" presId="urn:microsoft.com/office/officeart/2005/8/layout/hChevron3"/>
    <dgm:cxn modelId="{5CAC52C2-E564-C84B-B87B-69CE43E312B5}" srcId="{13B336D8-F181-BB4D-A7DA-36A19DCB74D2}" destId="{BE4DE677-DE70-D04E-BA74-5089C4AE86B8}" srcOrd="1" destOrd="0" parTransId="{8F0411BF-738F-124E-A7A3-7D0695A199AF}" sibTransId="{B2B6A955-691A-DD42-8AE0-36A80617245F}"/>
    <dgm:cxn modelId="{1B8AD319-15A5-4574-81FD-78830F309349}" type="presOf" srcId="{3ADA02C1-6E6C-F94E-9BD9-D2FEE2105B73}" destId="{81CFDE64-8354-394A-8E80-DFC4102E2032}" srcOrd="0" destOrd="0" presId="urn:microsoft.com/office/officeart/2005/8/layout/hChevron3"/>
    <dgm:cxn modelId="{9B82CA21-C14E-4FC7-8B1B-3457CA4BDDF2}" type="presOf" srcId="{8F40CEBE-981F-1B43-AE61-3FFB1D3F46FB}" destId="{43FBB942-53D9-2843-BADA-4C1CB2381A1F}" srcOrd="0" destOrd="0" presId="urn:microsoft.com/office/officeart/2005/8/layout/hChevron3"/>
    <dgm:cxn modelId="{79CF6F88-F53A-4134-AB23-407468F837B8}" type="presOf" srcId="{D5B89798-E289-1041-9616-8CD3BCA93785}" destId="{CAE6B73C-A743-3E42-A7BD-0C137DFA3595}" srcOrd="0" destOrd="0" presId="urn:microsoft.com/office/officeart/2005/8/layout/hChevron3"/>
    <dgm:cxn modelId="{2C46A22C-F212-4BB3-926C-FEE9E38D9FCF}" type="presOf" srcId="{13B336D8-F181-BB4D-A7DA-36A19DCB74D2}" destId="{1CE7EAD2-1513-F44D-BB79-07A5B46C1FAA}" srcOrd="0" destOrd="0" presId="urn:microsoft.com/office/officeart/2005/8/layout/hChevron3"/>
    <dgm:cxn modelId="{2911855A-2736-064C-A623-FE1D5162D588}" srcId="{13B336D8-F181-BB4D-A7DA-36A19DCB74D2}" destId="{DB1DBA0B-8A39-C04C-8809-94E2F2AFD068}" srcOrd="7" destOrd="0" parTransId="{BE09EEA6-708E-2C44-98A2-AED73D0C7BA5}" sibTransId="{EDF27A77-AFFC-424B-951B-EDE11AE8A3FC}"/>
    <dgm:cxn modelId="{EEFAB539-EE14-40BA-86D1-1EB29867B773}" type="presOf" srcId="{C90D3098-8C20-8E48-821F-98BB6CEA14D9}" destId="{F5C19815-4DD0-DD4F-A81A-EC4C874F9BD9}" srcOrd="0" destOrd="0" presId="urn:microsoft.com/office/officeart/2005/8/layout/hChevron3"/>
    <dgm:cxn modelId="{56246A6B-5B81-614A-9A63-C9DF61C0AC5F}" srcId="{13B336D8-F181-BB4D-A7DA-36A19DCB74D2}" destId="{C90D3098-8C20-8E48-821F-98BB6CEA14D9}" srcOrd="2" destOrd="0" parTransId="{6DFF4E8F-6CDF-6745-82F2-A2446DF66A9C}" sibTransId="{79ED6A18-6A27-B847-8EBD-03CDFB350B4D}"/>
    <dgm:cxn modelId="{A9BBFA44-3CBF-42CB-85FA-A3A7A56E781E}" type="presParOf" srcId="{1CE7EAD2-1513-F44D-BB79-07A5B46C1FAA}" destId="{27FD4078-2ADF-7946-92A8-B6FA3881F1C7}" srcOrd="0" destOrd="0" presId="urn:microsoft.com/office/officeart/2005/8/layout/hChevron3"/>
    <dgm:cxn modelId="{43E3A546-6232-4C63-832C-A6CED9BECFDC}" type="presParOf" srcId="{1CE7EAD2-1513-F44D-BB79-07A5B46C1FAA}" destId="{A5E15196-507E-ED40-9ACF-8BB0D60EE7B2}" srcOrd="1" destOrd="0" presId="urn:microsoft.com/office/officeart/2005/8/layout/hChevron3"/>
    <dgm:cxn modelId="{378BE86D-3A30-412C-B479-1C634A1DFDA7}" type="presParOf" srcId="{1CE7EAD2-1513-F44D-BB79-07A5B46C1FAA}" destId="{1DDDCAAB-A53B-754A-80C9-2F4C14B6AF46}" srcOrd="2" destOrd="0" presId="urn:microsoft.com/office/officeart/2005/8/layout/hChevron3"/>
    <dgm:cxn modelId="{D894F980-8FB0-4132-963F-5904F50C4C2E}" type="presParOf" srcId="{1CE7EAD2-1513-F44D-BB79-07A5B46C1FAA}" destId="{DABF2617-955A-F14D-AAD4-8C2D6CEAF539}" srcOrd="3" destOrd="0" presId="urn:microsoft.com/office/officeart/2005/8/layout/hChevron3"/>
    <dgm:cxn modelId="{CC9D4706-4479-47DE-A9B3-B8B1AA0DBC05}" type="presParOf" srcId="{1CE7EAD2-1513-F44D-BB79-07A5B46C1FAA}" destId="{F5C19815-4DD0-DD4F-A81A-EC4C874F9BD9}" srcOrd="4" destOrd="0" presId="urn:microsoft.com/office/officeart/2005/8/layout/hChevron3"/>
    <dgm:cxn modelId="{26295CA1-D275-4712-A6BE-E80D40691F41}" type="presParOf" srcId="{1CE7EAD2-1513-F44D-BB79-07A5B46C1FAA}" destId="{CDF7E532-E9CA-134C-A569-C84D7DACD8C4}" srcOrd="5" destOrd="0" presId="urn:microsoft.com/office/officeart/2005/8/layout/hChevron3"/>
    <dgm:cxn modelId="{188FB098-4905-453C-B92C-B1550A8222B6}" type="presParOf" srcId="{1CE7EAD2-1513-F44D-BB79-07A5B46C1FAA}" destId="{81CFDE64-8354-394A-8E80-DFC4102E2032}" srcOrd="6" destOrd="0" presId="urn:microsoft.com/office/officeart/2005/8/layout/hChevron3"/>
    <dgm:cxn modelId="{B633146F-47FC-4E1C-BB7D-A12A9CDCF8DC}" type="presParOf" srcId="{1CE7EAD2-1513-F44D-BB79-07A5B46C1FAA}" destId="{41EFB1C8-0197-044E-8955-77832784E2E2}" srcOrd="7" destOrd="0" presId="urn:microsoft.com/office/officeart/2005/8/layout/hChevron3"/>
    <dgm:cxn modelId="{129EAE35-B202-45F1-803B-5DC1367542CF}" type="presParOf" srcId="{1CE7EAD2-1513-F44D-BB79-07A5B46C1FAA}" destId="{43FBB942-53D9-2843-BADA-4C1CB2381A1F}" srcOrd="8" destOrd="0" presId="urn:microsoft.com/office/officeart/2005/8/layout/hChevron3"/>
    <dgm:cxn modelId="{8705AA2D-A9B3-4068-91CA-2D0AAC11C674}" type="presParOf" srcId="{1CE7EAD2-1513-F44D-BB79-07A5B46C1FAA}" destId="{87F2ADD0-BAD2-B245-80FE-323B40C2DB5C}" srcOrd="9" destOrd="0" presId="urn:microsoft.com/office/officeart/2005/8/layout/hChevron3"/>
    <dgm:cxn modelId="{E539E90F-0360-45B3-B490-2F14FAB907D1}" type="presParOf" srcId="{1CE7EAD2-1513-F44D-BB79-07A5B46C1FAA}" destId="{F82D5FCE-2A1F-3C47-8D31-00840CCF21E0}" srcOrd="10" destOrd="0" presId="urn:microsoft.com/office/officeart/2005/8/layout/hChevron3"/>
    <dgm:cxn modelId="{B321AD7A-13C1-4CD2-87FD-D28080EBC373}" type="presParOf" srcId="{1CE7EAD2-1513-F44D-BB79-07A5B46C1FAA}" destId="{C0D03A84-241C-8043-B2F5-FD6E61604BAA}" srcOrd="11" destOrd="0" presId="urn:microsoft.com/office/officeart/2005/8/layout/hChevron3"/>
    <dgm:cxn modelId="{DF1A4963-F26D-4A8E-B54C-40CEA2A4BF5B}" type="presParOf" srcId="{1CE7EAD2-1513-F44D-BB79-07A5B46C1FAA}" destId="{CAE6B73C-A743-3E42-A7BD-0C137DFA3595}" srcOrd="12" destOrd="0" presId="urn:microsoft.com/office/officeart/2005/8/layout/hChevron3"/>
    <dgm:cxn modelId="{0F378680-C92A-46EA-A951-ECBB7FD73B01}" type="presParOf" srcId="{1CE7EAD2-1513-F44D-BB79-07A5B46C1FAA}" destId="{6571A05B-A98E-7A4C-A58D-D156BD3038C7}" srcOrd="13" destOrd="0" presId="urn:microsoft.com/office/officeart/2005/8/layout/hChevron3"/>
    <dgm:cxn modelId="{083D5BDE-BB16-4881-A731-106922A1D41E}" type="presParOf" srcId="{1CE7EAD2-1513-F44D-BB79-07A5B46C1FAA}" destId="{00CB02A6-9744-3345-919F-B2376B69A686}" srcOrd="14" destOrd="0" presId="urn:microsoft.com/office/officeart/2005/8/layout/hChevron3"/>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7FD4078-2ADF-7946-92A8-B6FA3881F1C7}">
      <dsp:nvSpPr>
        <dsp:cNvPr id="0" name=""/>
        <dsp:cNvSpPr/>
      </dsp:nvSpPr>
      <dsp:spPr>
        <a:xfrm>
          <a:off x="3238" y="196556"/>
          <a:ext cx="1003858" cy="401543"/>
        </a:xfrm>
        <a:prstGeom prst="homePlate">
          <a:avLst/>
        </a:prstGeom>
        <a:solidFill>
          <a:srgbClr val="FBC01E">
            <a:shade val="80000"/>
            <a:hueOff val="0"/>
            <a:satOff val="0"/>
            <a:lumOff val="0"/>
            <a:alphaOff val="0"/>
          </a:srgbClr>
        </a:solidFill>
        <a:ln w="28575"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8674" tIns="29337" rIns="14669" bIns="29337"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Choose Methods</a:t>
          </a:r>
        </a:p>
      </dsp:txBody>
      <dsp:txXfrm>
        <a:off x="3238" y="196556"/>
        <a:ext cx="903472" cy="401543"/>
      </dsp:txXfrm>
    </dsp:sp>
    <dsp:sp modelId="{1DDDCAAB-A53B-754A-80C9-2F4C14B6AF46}">
      <dsp:nvSpPr>
        <dsp:cNvPr id="0" name=""/>
        <dsp:cNvSpPr/>
      </dsp:nvSpPr>
      <dsp:spPr>
        <a:xfrm>
          <a:off x="806324" y="196556"/>
          <a:ext cx="1003858" cy="401543"/>
        </a:xfrm>
        <a:prstGeom prst="chevron">
          <a:avLst/>
        </a:prstGeom>
        <a:solidFill>
          <a:srgbClr val="FBC01E">
            <a:shade val="80000"/>
            <a:hueOff val="-59195"/>
            <a:satOff val="2193"/>
            <a:lumOff val="4190"/>
            <a:alphaOff val="0"/>
          </a:srgbClr>
        </a:solidFill>
        <a:ln w="28575"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29337" rIns="14669" bIns="29337"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Adapt Tools</a:t>
          </a:r>
        </a:p>
      </dsp:txBody>
      <dsp:txXfrm>
        <a:off x="1007096" y="196556"/>
        <a:ext cx="602315" cy="401543"/>
      </dsp:txXfrm>
    </dsp:sp>
    <dsp:sp modelId="{F5C19815-4DD0-DD4F-A81A-EC4C874F9BD9}">
      <dsp:nvSpPr>
        <dsp:cNvPr id="0" name=""/>
        <dsp:cNvSpPr/>
      </dsp:nvSpPr>
      <dsp:spPr>
        <a:xfrm>
          <a:off x="1609411" y="196556"/>
          <a:ext cx="1003858" cy="401543"/>
        </a:xfrm>
        <a:prstGeom prst="chevron">
          <a:avLst/>
        </a:prstGeom>
        <a:solidFill>
          <a:srgbClr val="FBC01E">
            <a:shade val="80000"/>
            <a:hueOff val="-118389"/>
            <a:satOff val="4386"/>
            <a:lumOff val="8379"/>
            <a:alphaOff val="0"/>
          </a:srgbClr>
        </a:solidFill>
        <a:ln w="28575"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29337" rIns="14669" bIns="29337"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Train Staff</a:t>
          </a:r>
        </a:p>
      </dsp:txBody>
      <dsp:txXfrm>
        <a:off x="1810183" y="196556"/>
        <a:ext cx="602315" cy="401543"/>
      </dsp:txXfrm>
    </dsp:sp>
    <dsp:sp modelId="{81CFDE64-8354-394A-8E80-DFC4102E2032}">
      <dsp:nvSpPr>
        <dsp:cNvPr id="0" name=""/>
        <dsp:cNvSpPr/>
      </dsp:nvSpPr>
      <dsp:spPr>
        <a:xfrm>
          <a:off x="2412497" y="196556"/>
          <a:ext cx="1003858" cy="401543"/>
        </a:xfrm>
        <a:prstGeom prst="chevron">
          <a:avLst/>
        </a:prstGeom>
        <a:solidFill>
          <a:srgbClr val="FBC01E">
            <a:shade val="80000"/>
            <a:hueOff val="-177584"/>
            <a:satOff val="6579"/>
            <a:lumOff val="12569"/>
            <a:alphaOff val="0"/>
          </a:srgbClr>
        </a:solidFill>
        <a:ln w="28575"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29337" rIns="14669" bIns="29337"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Publicize</a:t>
          </a:r>
        </a:p>
      </dsp:txBody>
      <dsp:txXfrm>
        <a:off x="2613269" y="196556"/>
        <a:ext cx="602315" cy="401543"/>
      </dsp:txXfrm>
    </dsp:sp>
    <dsp:sp modelId="{43FBB942-53D9-2843-BADA-4C1CB2381A1F}">
      <dsp:nvSpPr>
        <dsp:cNvPr id="0" name=""/>
        <dsp:cNvSpPr/>
      </dsp:nvSpPr>
      <dsp:spPr>
        <a:xfrm>
          <a:off x="3215584" y="196556"/>
          <a:ext cx="1003858" cy="401543"/>
        </a:xfrm>
        <a:prstGeom prst="chevron">
          <a:avLst/>
        </a:prstGeom>
        <a:solidFill>
          <a:srgbClr val="FBC01E">
            <a:shade val="80000"/>
            <a:hueOff val="-236779"/>
            <a:satOff val="8771"/>
            <a:lumOff val="16759"/>
            <a:alphaOff val="0"/>
          </a:srgbClr>
        </a:solidFill>
        <a:ln w="28575"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29337" rIns="14669" bIns="29337"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Use</a:t>
          </a:r>
        </a:p>
      </dsp:txBody>
      <dsp:txXfrm>
        <a:off x="3416356" y="196556"/>
        <a:ext cx="602315" cy="401543"/>
      </dsp:txXfrm>
    </dsp:sp>
    <dsp:sp modelId="{F82D5FCE-2A1F-3C47-8D31-00840CCF21E0}">
      <dsp:nvSpPr>
        <dsp:cNvPr id="0" name=""/>
        <dsp:cNvSpPr/>
      </dsp:nvSpPr>
      <dsp:spPr>
        <a:xfrm>
          <a:off x="4018670" y="196556"/>
          <a:ext cx="1003858" cy="401543"/>
        </a:xfrm>
        <a:prstGeom prst="chevron">
          <a:avLst/>
        </a:prstGeom>
        <a:solidFill>
          <a:srgbClr val="FBC01E">
            <a:shade val="80000"/>
            <a:hueOff val="-295974"/>
            <a:satOff val="10964"/>
            <a:lumOff val="20949"/>
            <a:alphaOff val="0"/>
          </a:srgbClr>
        </a:solidFill>
        <a:ln w="28575"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29337" rIns="14669" bIns="29337"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Track</a:t>
          </a:r>
        </a:p>
      </dsp:txBody>
      <dsp:txXfrm>
        <a:off x="4219442" y="196556"/>
        <a:ext cx="602315" cy="401543"/>
      </dsp:txXfrm>
    </dsp:sp>
    <dsp:sp modelId="{CAE6B73C-A743-3E42-A7BD-0C137DFA3595}">
      <dsp:nvSpPr>
        <dsp:cNvPr id="0" name=""/>
        <dsp:cNvSpPr/>
      </dsp:nvSpPr>
      <dsp:spPr>
        <a:xfrm>
          <a:off x="4821757" y="196556"/>
          <a:ext cx="1003858" cy="401543"/>
        </a:xfrm>
        <a:prstGeom prst="chevron">
          <a:avLst/>
        </a:prstGeom>
        <a:solidFill>
          <a:srgbClr val="FBC01E">
            <a:shade val="80000"/>
            <a:hueOff val="-355168"/>
            <a:satOff val="13157"/>
            <a:lumOff val="25138"/>
            <a:alphaOff val="0"/>
          </a:srgbClr>
        </a:solidFill>
        <a:ln w="28575"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29337" rIns="14669" bIns="29337"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Refer</a:t>
          </a:r>
        </a:p>
      </dsp:txBody>
      <dsp:txXfrm>
        <a:off x="5022529" y="196556"/>
        <a:ext cx="602315" cy="401543"/>
      </dsp:txXfrm>
    </dsp:sp>
    <dsp:sp modelId="{00CB02A6-9744-3345-919F-B2376B69A686}">
      <dsp:nvSpPr>
        <dsp:cNvPr id="0" name=""/>
        <dsp:cNvSpPr/>
      </dsp:nvSpPr>
      <dsp:spPr>
        <a:xfrm>
          <a:off x="5624843" y="196556"/>
          <a:ext cx="1003858" cy="401543"/>
        </a:xfrm>
        <a:prstGeom prst="chevron">
          <a:avLst/>
        </a:prstGeom>
        <a:solidFill>
          <a:srgbClr val="FBC01E">
            <a:shade val="80000"/>
            <a:hueOff val="-414363"/>
            <a:satOff val="15350"/>
            <a:lumOff val="29328"/>
            <a:alphaOff val="0"/>
          </a:srgbClr>
        </a:solidFill>
        <a:ln w="28575"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4006" tIns="29337" rIns="14669" bIns="29337" numCol="1" spcCol="1270" anchor="ctr" anchorCtr="0">
          <a:noAutofit/>
        </a:bodyPr>
        <a:lstStyle/>
        <a:p>
          <a:pPr lvl="0" algn="ctr" defTabSz="488950">
            <a:lnSpc>
              <a:spcPct val="90000"/>
            </a:lnSpc>
            <a:spcBef>
              <a:spcPct val="0"/>
            </a:spcBef>
            <a:spcAft>
              <a:spcPct val="35000"/>
            </a:spcAft>
          </a:pPr>
          <a:r>
            <a:rPr lang="en-US" sz="1100" kern="1200">
              <a:solidFill>
                <a:sysClr val="window" lastClr="FFFFFF"/>
              </a:solidFill>
              <a:latin typeface="Calibri"/>
              <a:ea typeface="+mn-ea"/>
              <a:cs typeface="+mn-cs"/>
            </a:rPr>
            <a:t>Address</a:t>
          </a:r>
        </a:p>
      </dsp:txBody>
      <dsp:txXfrm>
        <a:off x="5825615" y="196556"/>
        <a:ext cx="602315" cy="401543"/>
      </dsp:txXfrm>
    </dsp:sp>
  </dsp:spTree>
</dsp:drawing>
</file>

<file path=word/diagrams/layout1.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C2CBB-35CE-4EEC-A19C-77783AB0F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1680</Words>
  <Characters>9576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2014-01-13T19:10:00Z</dcterms:created>
  <dcterms:modified xsi:type="dcterms:W3CDTF">2016-07-11T19:17:00Z</dcterms:modified>
</cp:coreProperties>
</file>